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C21CD" w14:textId="3F6B47CC" w:rsidR="009C300B" w:rsidRPr="009C300B" w:rsidRDefault="009C300B" w:rsidP="009C300B">
      <w:pPr>
        <w:shd w:val="clear" w:color="auto" w:fill="FFFFFF"/>
        <w:spacing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In the context of international remittances, </w:t>
      </w:r>
      <w:r w:rsidRPr="009C300B">
        <w:rPr>
          <w:rFonts w:ascii="Arial" w:eastAsia="Times New Roman" w:hAnsi="Arial" w:cs="Arial"/>
          <w:b/>
          <w:bCs/>
          <w:color w:val="1A1C1E"/>
          <w:kern w:val="0"/>
          <w:sz w:val="21"/>
          <w:szCs w:val="21"/>
          <w14:ligatures w14:val="none"/>
        </w:rPr>
        <w:t>"Netting"</w:t>
      </w:r>
      <w:r w:rsidRPr="009C300B">
        <w:rPr>
          <w:rFonts w:ascii="Arial" w:eastAsia="Times New Roman" w:hAnsi="Arial" w:cs="Arial"/>
          <w:color w:val="1A1C1E"/>
          <w:kern w:val="0"/>
          <w:sz w:val="21"/>
          <w:szCs w:val="21"/>
          <w14:ligatures w14:val="none"/>
        </w:rPr>
        <w:t> refers to a settlement process where a Money Transfer Operator (MTO) balances their inflows and outflows between two countries and only transfers the "net" difference across the border.</w:t>
      </w:r>
    </w:p>
    <w:p w14:paraId="65897349"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Many </w:t>
      </w:r>
      <w:r w:rsidRPr="009C300B">
        <w:rPr>
          <w:rFonts w:ascii="Arial" w:eastAsia="Times New Roman" w:hAnsi="Arial" w:cs="Arial"/>
          <w:b/>
          <w:bCs/>
          <w:color w:val="1A1C1E"/>
          <w:kern w:val="0"/>
          <w:sz w:val="21"/>
          <w:szCs w:val="21"/>
          <w14:ligatures w14:val="none"/>
        </w:rPr>
        <w:t>Low- and Middle-Income Countries (LMICs)</w:t>
      </w:r>
      <w:r w:rsidRPr="009C300B">
        <w:rPr>
          <w:rFonts w:ascii="Arial" w:eastAsia="Times New Roman" w:hAnsi="Arial" w:cs="Arial"/>
          <w:color w:val="1A1C1E"/>
          <w:kern w:val="0"/>
          <w:sz w:val="21"/>
          <w:szCs w:val="21"/>
          <w14:ligatures w14:val="none"/>
        </w:rPr>
        <w:t> prohibit or strictly regulate this practice. They typically mandate </w:t>
      </w:r>
      <w:r w:rsidRPr="009C300B">
        <w:rPr>
          <w:rFonts w:ascii="Arial" w:eastAsia="Times New Roman" w:hAnsi="Arial" w:cs="Arial"/>
          <w:b/>
          <w:bCs/>
          <w:color w:val="1A1C1E"/>
          <w:kern w:val="0"/>
          <w:sz w:val="21"/>
          <w:szCs w:val="21"/>
          <w14:ligatures w14:val="none"/>
        </w:rPr>
        <w:t>Gross Settlement</w:t>
      </w:r>
      <w:r w:rsidRPr="009C300B">
        <w:rPr>
          <w:rFonts w:ascii="Arial" w:eastAsia="Times New Roman" w:hAnsi="Arial" w:cs="Arial"/>
          <w:color w:val="1A1C1E"/>
          <w:kern w:val="0"/>
          <w:sz w:val="21"/>
          <w:szCs w:val="21"/>
          <w14:ligatures w14:val="none"/>
        </w:rPr>
        <w:t>, meaning every single dollar sent by a migrant must physically enter the country’s banking system before being paid out in local currency.</w:t>
      </w:r>
    </w:p>
    <w:p w14:paraId="6518B21A"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The following LMICs are known for prohibiting or severely restricting the netting of private remittances:</w:t>
      </w:r>
    </w:p>
    <w:p w14:paraId="7F756F93"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1. Nigeria (Central Bank of Nigeria - CBN)</w:t>
      </w:r>
    </w:p>
    <w:p w14:paraId="57465C54"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Nigeria is perhaps the most prominent example of a country that prohibits netting.</w:t>
      </w:r>
    </w:p>
    <w:p w14:paraId="4150DB28" w14:textId="77777777" w:rsidR="009C300B" w:rsidRPr="009C300B" w:rsidRDefault="009C300B" w:rsidP="009C300B">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Rule:</w:t>
      </w:r>
      <w:r w:rsidRPr="009C300B">
        <w:rPr>
          <w:rFonts w:ascii="Arial" w:eastAsia="Times New Roman" w:hAnsi="Arial" w:cs="Arial"/>
          <w:color w:val="1A1C1E"/>
          <w:kern w:val="0"/>
          <w:sz w:val="21"/>
          <w:szCs w:val="21"/>
          <w14:ligatures w14:val="none"/>
        </w:rPr>
        <w:t> The CBN mandates that International Money Transfer Operators (IMTOs) must settle all remittances in </w:t>
      </w:r>
      <w:r w:rsidRPr="009C300B">
        <w:rPr>
          <w:rFonts w:ascii="Arial" w:eastAsia="Times New Roman" w:hAnsi="Arial" w:cs="Arial"/>
          <w:b/>
          <w:bCs/>
          <w:color w:val="1A1C1E"/>
          <w:kern w:val="0"/>
          <w:sz w:val="21"/>
          <w:szCs w:val="21"/>
          <w14:ligatures w14:val="none"/>
        </w:rPr>
        <w:t>gross</w:t>
      </w:r>
      <w:r w:rsidRPr="009C300B">
        <w:rPr>
          <w:rFonts w:ascii="Arial" w:eastAsia="Times New Roman" w:hAnsi="Arial" w:cs="Arial"/>
          <w:color w:val="1A1C1E"/>
          <w:kern w:val="0"/>
          <w:sz w:val="21"/>
          <w:szCs w:val="21"/>
          <w14:ligatures w14:val="none"/>
        </w:rPr>
        <w:t> through authorized dealer banks.</w:t>
      </w:r>
    </w:p>
    <w:p w14:paraId="55F462CC" w14:textId="77777777" w:rsidR="009C300B" w:rsidRDefault="009C300B" w:rsidP="009C300B">
      <w:pPr>
        <w:numPr>
          <w:ilvl w:val="0"/>
          <w:numId w:val="1"/>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Reason:</w:t>
      </w:r>
      <w:r w:rsidRPr="009C300B">
        <w:rPr>
          <w:rFonts w:ascii="Arial" w:eastAsia="Times New Roman" w:hAnsi="Arial" w:cs="Arial"/>
          <w:color w:val="1A1C1E"/>
          <w:kern w:val="0"/>
          <w:sz w:val="21"/>
          <w:szCs w:val="21"/>
          <w14:ligatures w14:val="none"/>
        </w:rPr>
        <w:t> Nigeria suffers from chronic foreign exchange (FX) shortages. By prohibiting netting, the CBN ensures that 100% of the hard currency (USD, GBP, EUR) hits the Nigerian FX reserves before it is converted to Naira. Netting is viewed as a way to "keep the dollars outside," which the government wants to prevent.</w:t>
      </w:r>
    </w:p>
    <w:p w14:paraId="0F36ABD8" w14:textId="77777777" w:rsidR="009C300B" w:rsidRPr="009C300B" w:rsidRDefault="009C300B" w:rsidP="009C300B">
      <w:pPr>
        <w:shd w:val="clear" w:color="auto" w:fill="FFFFFF"/>
        <w:spacing w:after="45" w:line="300" w:lineRule="atLeast"/>
        <w:ind w:left="720"/>
        <w:rPr>
          <w:rFonts w:ascii="Arial" w:eastAsia="Times New Roman" w:hAnsi="Arial" w:cs="Arial"/>
          <w:color w:val="1A1C1E"/>
          <w:kern w:val="0"/>
          <w:sz w:val="21"/>
          <w:szCs w:val="21"/>
          <w14:ligatures w14:val="none"/>
        </w:rPr>
      </w:pPr>
    </w:p>
    <w:p w14:paraId="1B7F2113"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2. Ethiopia (National Bank of Ethiopia - NBE)</w:t>
      </w:r>
    </w:p>
    <w:p w14:paraId="77249E21"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Ethiopia has some of the strictest capital controls in Africa.</w:t>
      </w:r>
    </w:p>
    <w:p w14:paraId="52D35C16" w14:textId="77777777" w:rsidR="009C300B" w:rsidRPr="009C300B" w:rsidRDefault="009C300B" w:rsidP="009C300B">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proofErr w:type="gramStart"/>
      <w:r w:rsidRPr="009C300B">
        <w:rPr>
          <w:rFonts w:ascii="Arial" w:eastAsia="Times New Roman" w:hAnsi="Arial" w:cs="Arial"/>
          <w:b/>
          <w:bCs/>
          <w:color w:val="1A1C1E"/>
          <w:kern w:val="0"/>
          <w:sz w:val="21"/>
          <w:szCs w:val="21"/>
          <w14:ligatures w14:val="none"/>
        </w:rPr>
        <w:t>The Rule</w:t>
      </w:r>
      <w:proofErr w:type="gramEnd"/>
      <w:r w:rsidRPr="009C300B">
        <w:rPr>
          <w:rFonts w:ascii="Arial" w:eastAsia="Times New Roman" w:hAnsi="Arial" w:cs="Arial"/>
          <w:b/>
          <w:bCs/>
          <w:color w:val="1A1C1E"/>
          <w:kern w:val="0"/>
          <w:sz w:val="21"/>
          <w:szCs w:val="21"/>
          <w14:ligatures w14:val="none"/>
        </w:rPr>
        <w:t>:</w:t>
      </w:r>
      <w:r w:rsidRPr="009C300B">
        <w:rPr>
          <w:rFonts w:ascii="Arial" w:eastAsia="Times New Roman" w:hAnsi="Arial" w:cs="Arial"/>
          <w:color w:val="1A1C1E"/>
          <w:kern w:val="0"/>
          <w:sz w:val="21"/>
          <w:szCs w:val="21"/>
          <w14:ligatures w14:val="none"/>
        </w:rPr>
        <w:t> All inbound remittances must be reported and settled on a gross basis. Banks and MTOs are prohibited from offsetting outbound payments against inbound remittances.</w:t>
      </w:r>
    </w:p>
    <w:p w14:paraId="11809AD3" w14:textId="77777777" w:rsidR="009C300B" w:rsidRDefault="009C300B" w:rsidP="009C300B">
      <w:pPr>
        <w:numPr>
          <w:ilvl w:val="0"/>
          <w:numId w:val="2"/>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Reason:</w:t>
      </w:r>
      <w:r w:rsidRPr="009C300B">
        <w:rPr>
          <w:rFonts w:ascii="Arial" w:eastAsia="Times New Roman" w:hAnsi="Arial" w:cs="Arial"/>
          <w:color w:val="1A1C1E"/>
          <w:kern w:val="0"/>
          <w:sz w:val="21"/>
          <w:szCs w:val="21"/>
          <w14:ligatures w14:val="none"/>
        </w:rPr>
        <w:t> Ethiopia tightly manages its birr exchange rate and relies on every dollar of remittance to fund essential imports like fuel and medicine. Netting is seen as an illegal "Hawala-style" circumvention of state FX controls.</w:t>
      </w:r>
    </w:p>
    <w:p w14:paraId="6492CD88" w14:textId="346939D0" w:rsidR="009C300B" w:rsidRPr="009C300B" w:rsidRDefault="009C300B" w:rsidP="009C300B">
      <w:pPr>
        <w:shd w:val="clear" w:color="auto" w:fill="FFFFFF"/>
        <w:spacing w:after="45" w:line="300" w:lineRule="atLeast"/>
        <w:ind w:left="720"/>
        <w:rPr>
          <w:rFonts w:ascii="Arial" w:eastAsia="Times New Roman" w:hAnsi="Arial" w:cs="Arial"/>
          <w:color w:val="1A1C1E"/>
          <w:kern w:val="0"/>
          <w:sz w:val="21"/>
          <w:szCs w:val="21"/>
          <w14:ligatures w14:val="none"/>
        </w:rPr>
      </w:pPr>
    </w:p>
    <w:p w14:paraId="0DC05A89"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3. Argentina (BCRA)</w:t>
      </w:r>
    </w:p>
    <w:p w14:paraId="275DF0FE"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Argentina’s complex multi-tier exchange rate system makes netting a major legal risk.</w:t>
      </w:r>
    </w:p>
    <w:p w14:paraId="59F31517" w14:textId="77777777" w:rsidR="009C300B" w:rsidRPr="009C300B" w:rsidRDefault="009C300B" w:rsidP="009C300B">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Rule:</w:t>
      </w:r>
      <w:r w:rsidRPr="009C300B">
        <w:rPr>
          <w:rFonts w:ascii="Arial" w:eastAsia="Times New Roman" w:hAnsi="Arial" w:cs="Arial"/>
          <w:color w:val="1A1C1E"/>
          <w:kern w:val="0"/>
          <w:sz w:val="21"/>
          <w:szCs w:val="21"/>
          <w14:ligatures w14:val="none"/>
        </w:rPr>
        <w:t> Under current "</w:t>
      </w:r>
      <w:proofErr w:type="spellStart"/>
      <w:r w:rsidRPr="009C300B">
        <w:rPr>
          <w:rFonts w:ascii="Arial" w:eastAsia="Times New Roman" w:hAnsi="Arial" w:cs="Arial"/>
          <w:color w:val="1A1C1E"/>
          <w:kern w:val="0"/>
          <w:sz w:val="21"/>
          <w:szCs w:val="21"/>
          <w14:ligatures w14:val="none"/>
        </w:rPr>
        <w:t>Cepo</w:t>
      </w:r>
      <w:proofErr w:type="spellEnd"/>
      <w:r w:rsidRPr="009C300B">
        <w:rPr>
          <w:rFonts w:ascii="Arial" w:eastAsia="Times New Roman" w:hAnsi="Arial" w:cs="Arial"/>
          <w:color w:val="1A1C1E"/>
          <w:kern w:val="0"/>
          <w:sz w:val="21"/>
          <w:szCs w:val="21"/>
          <w14:ligatures w14:val="none"/>
        </w:rPr>
        <w:t>" (exchange control) regulations, funds from abroad must be liquidated in the Single Free Market of Exchange (MULC) within a specific timeframe (usually 5 days).</w:t>
      </w:r>
    </w:p>
    <w:p w14:paraId="5D7D04DF" w14:textId="77777777" w:rsidR="009C300B" w:rsidRDefault="009C300B" w:rsidP="009C300B">
      <w:pPr>
        <w:numPr>
          <w:ilvl w:val="0"/>
          <w:numId w:val="3"/>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Reason:</w:t>
      </w:r>
      <w:r w:rsidRPr="009C300B">
        <w:rPr>
          <w:rFonts w:ascii="Arial" w:eastAsia="Times New Roman" w:hAnsi="Arial" w:cs="Arial"/>
          <w:color w:val="1A1C1E"/>
          <w:kern w:val="0"/>
          <w:sz w:val="21"/>
          <w:szCs w:val="21"/>
          <w14:ligatures w14:val="none"/>
        </w:rPr>
        <w:t> To prevent capital flight. Netting would allow MTOs to settle debts outside the country, depriving the Central Bank of the ability to capture and tax those foreign currency flows.</w:t>
      </w:r>
    </w:p>
    <w:p w14:paraId="0CE48734" w14:textId="77777777" w:rsidR="009C300B" w:rsidRPr="009C300B" w:rsidRDefault="009C300B" w:rsidP="009C300B">
      <w:pPr>
        <w:shd w:val="clear" w:color="auto" w:fill="FFFFFF"/>
        <w:spacing w:after="45" w:line="300" w:lineRule="atLeast"/>
        <w:ind w:left="720"/>
        <w:rPr>
          <w:rFonts w:ascii="Arial" w:eastAsia="Times New Roman" w:hAnsi="Arial" w:cs="Arial"/>
          <w:color w:val="1A1C1E"/>
          <w:kern w:val="0"/>
          <w:sz w:val="21"/>
          <w:szCs w:val="21"/>
          <w14:ligatures w14:val="none"/>
        </w:rPr>
      </w:pPr>
    </w:p>
    <w:p w14:paraId="2030BFF9"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4. Pakistan (State Bank of Pakistan - SBP)</w:t>
      </w:r>
    </w:p>
    <w:p w14:paraId="09416896"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Pakistan has led a massive crackdown on informal netting systems (known locally as </w:t>
      </w:r>
      <w:r w:rsidRPr="009C300B">
        <w:rPr>
          <w:rFonts w:ascii="Arial" w:eastAsia="Times New Roman" w:hAnsi="Arial" w:cs="Arial"/>
          <w:b/>
          <w:bCs/>
          <w:color w:val="1A1C1E"/>
          <w:kern w:val="0"/>
          <w:sz w:val="21"/>
          <w:szCs w:val="21"/>
          <w14:ligatures w14:val="none"/>
        </w:rPr>
        <w:t>Hundi</w:t>
      </w:r>
      <w:r w:rsidRPr="009C300B">
        <w:rPr>
          <w:rFonts w:ascii="Arial" w:eastAsia="Times New Roman" w:hAnsi="Arial" w:cs="Arial"/>
          <w:color w:val="1A1C1E"/>
          <w:kern w:val="0"/>
          <w:sz w:val="21"/>
          <w:szCs w:val="21"/>
          <w14:ligatures w14:val="none"/>
        </w:rPr>
        <w:t> or </w:t>
      </w:r>
      <w:r w:rsidRPr="009C300B">
        <w:rPr>
          <w:rFonts w:ascii="Arial" w:eastAsia="Times New Roman" w:hAnsi="Arial" w:cs="Arial"/>
          <w:b/>
          <w:bCs/>
          <w:color w:val="1A1C1E"/>
          <w:kern w:val="0"/>
          <w:sz w:val="21"/>
          <w:szCs w:val="21"/>
          <w14:ligatures w14:val="none"/>
        </w:rPr>
        <w:t>Hawala</w:t>
      </w:r>
      <w:r w:rsidRPr="009C300B">
        <w:rPr>
          <w:rFonts w:ascii="Arial" w:eastAsia="Times New Roman" w:hAnsi="Arial" w:cs="Arial"/>
          <w:color w:val="1A1C1E"/>
          <w:kern w:val="0"/>
          <w:sz w:val="21"/>
          <w:szCs w:val="21"/>
          <w14:ligatures w14:val="none"/>
        </w:rPr>
        <w:t>).</w:t>
      </w:r>
    </w:p>
    <w:p w14:paraId="2D55EDA7" w14:textId="77777777" w:rsidR="009C300B" w:rsidRPr="009C300B" w:rsidRDefault="009C300B" w:rsidP="009C300B">
      <w:pPr>
        <w:numPr>
          <w:ilvl w:val="0"/>
          <w:numId w:val="4"/>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Rule:</w:t>
      </w:r>
      <w:r w:rsidRPr="009C300B">
        <w:rPr>
          <w:rFonts w:ascii="Arial" w:eastAsia="Times New Roman" w:hAnsi="Arial" w:cs="Arial"/>
          <w:color w:val="1A1C1E"/>
          <w:kern w:val="0"/>
          <w:sz w:val="21"/>
          <w:szCs w:val="21"/>
          <w14:ligatures w14:val="none"/>
        </w:rPr>
        <w:t> Official MTOs (like Western Union, MoneyGram, or Ria) must operate under the </w:t>
      </w:r>
      <w:r w:rsidRPr="009C300B">
        <w:rPr>
          <w:rFonts w:ascii="Arial" w:eastAsia="Times New Roman" w:hAnsi="Arial" w:cs="Arial"/>
          <w:b/>
          <w:bCs/>
          <w:color w:val="1A1C1E"/>
          <w:kern w:val="0"/>
          <w:sz w:val="21"/>
          <w:szCs w:val="21"/>
          <w14:ligatures w14:val="none"/>
        </w:rPr>
        <w:t>Pakistan Remittance Initiative (PRI)</w:t>
      </w:r>
      <w:r w:rsidRPr="009C300B">
        <w:rPr>
          <w:rFonts w:ascii="Arial" w:eastAsia="Times New Roman" w:hAnsi="Arial" w:cs="Arial"/>
          <w:color w:val="1A1C1E"/>
          <w:kern w:val="0"/>
          <w:sz w:val="21"/>
          <w:szCs w:val="21"/>
          <w14:ligatures w14:val="none"/>
        </w:rPr>
        <w:t>, which requires gross settlement into SBP-monitored accounts.</w:t>
      </w:r>
    </w:p>
    <w:p w14:paraId="548AEB1F" w14:textId="77777777" w:rsidR="009C300B" w:rsidRDefault="009C300B" w:rsidP="009C300B">
      <w:pPr>
        <w:numPr>
          <w:ilvl w:val="0"/>
          <w:numId w:val="4"/>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Reason:</w:t>
      </w:r>
      <w:r w:rsidRPr="009C300B">
        <w:rPr>
          <w:rFonts w:ascii="Arial" w:eastAsia="Times New Roman" w:hAnsi="Arial" w:cs="Arial"/>
          <w:color w:val="1A1C1E"/>
          <w:kern w:val="0"/>
          <w:sz w:val="21"/>
          <w:szCs w:val="21"/>
          <w14:ligatures w14:val="none"/>
        </w:rPr>
        <w:t> Pakistan is frequently under pressure from the </w:t>
      </w:r>
      <w:r w:rsidRPr="009C300B">
        <w:rPr>
          <w:rFonts w:ascii="Arial" w:eastAsia="Times New Roman" w:hAnsi="Arial" w:cs="Arial"/>
          <w:b/>
          <w:bCs/>
          <w:color w:val="1A1C1E"/>
          <w:kern w:val="0"/>
          <w:sz w:val="21"/>
          <w:szCs w:val="21"/>
          <w14:ligatures w14:val="none"/>
        </w:rPr>
        <w:t>FATF</w:t>
      </w:r>
      <w:r w:rsidRPr="009C300B">
        <w:rPr>
          <w:rFonts w:ascii="Arial" w:eastAsia="Times New Roman" w:hAnsi="Arial" w:cs="Arial"/>
          <w:color w:val="1A1C1E"/>
          <w:kern w:val="0"/>
          <w:sz w:val="21"/>
          <w:szCs w:val="21"/>
          <w14:ligatures w14:val="none"/>
        </w:rPr>
        <w:t> (Financial Action Task Force) to curb money laundering. Gross settlement provides a transparent "audit trail" that netting obscures.</w:t>
      </w:r>
    </w:p>
    <w:p w14:paraId="5E825EFC" w14:textId="77777777" w:rsidR="009C300B" w:rsidRPr="009C300B" w:rsidRDefault="009C300B" w:rsidP="009C300B">
      <w:pPr>
        <w:shd w:val="clear" w:color="auto" w:fill="FFFFFF"/>
        <w:spacing w:after="45" w:line="300" w:lineRule="atLeast"/>
        <w:ind w:left="720"/>
        <w:rPr>
          <w:rFonts w:ascii="Arial" w:eastAsia="Times New Roman" w:hAnsi="Arial" w:cs="Arial"/>
          <w:color w:val="1A1C1E"/>
          <w:kern w:val="0"/>
          <w:sz w:val="21"/>
          <w:szCs w:val="21"/>
          <w14:ligatures w14:val="none"/>
        </w:rPr>
      </w:pPr>
    </w:p>
    <w:p w14:paraId="706ADABA"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5. Bangladesh (Bangladesh Bank)</w:t>
      </w:r>
    </w:p>
    <w:p w14:paraId="4E5602F0"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Similar to its neighbors, Bangladesh is highly protective of its foreign reserves.</w:t>
      </w:r>
    </w:p>
    <w:p w14:paraId="54BB8448" w14:textId="77777777" w:rsidR="009C300B" w:rsidRPr="009C300B" w:rsidRDefault="009C300B" w:rsidP="009C300B">
      <w:pPr>
        <w:numPr>
          <w:ilvl w:val="0"/>
          <w:numId w:val="5"/>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Rule:</w:t>
      </w:r>
      <w:r w:rsidRPr="009C300B">
        <w:rPr>
          <w:rFonts w:ascii="Arial" w:eastAsia="Times New Roman" w:hAnsi="Arial" w:cs="Arial"/>
          <w:color w:val="1A1C1E"/>
          <w:kern w:val="0"/>
          <w:sz w:val="21"/>
          <w:szCs w:val="21"/>
          <w14:ligatures w14:val="none"/>
        </w:rPr>
        <w:t> Netting is generally prohibited for private remittances. All inward flows must be channeled through the "Nostro" accounts of local banks in their entirety.</w:t>
      </w:r>
    </w:p>
    <w:p w14:paraId="38CEA8DB" w14:textId="77777777" w:rsidR="009C300B" w:rsidRDefault="009C300B" w:rsidP="009C300B">
      <w:pPr>
        <w:numPr>
          <w:ilvl w:val="0"/>
          <w:numId w:val="5"/>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Reason:</w:t>
      </w:r>
      <w:r w:rsidRPr="009C300B">
        <w:rPr>
          <w:rFonts w:ascii="Arial" w:eastAsia="Times New Roman" w:hAnsi="Arial" w:cs="Arial"/>
          <w:color w:val="1A1C1E"/>
          <w:kern w:val="0"/>
          <w:sz w:val="21"/>
          <w:szCs w:val="21"/>
          <w14:ligatures w14:val="none"/>
        </w:rPr>
        <w:t> The government provides a </w:t>
      </w:r>
      <w:r w:rsidRPr="009C300B">
        <w:rPr>
          <w:rFonts w:ascii="Arial" w:eastAsia="Times New Roman" w:hAnsi="Arial" w:cs="Arial"/>
          <w:b/>
          <w:bCs/>
          <w:color w:val="1A1C1E"/>
          <w:kern w:val="0"/>
          <w:sz w:val="21"/>
          <w:szCs w:val="21"/>
          <w14:ligatures w14:val="none"/>
        </w:rPr>
        <w:t>2.5% cash incentive</w:t>
      </w:r>
      <w:r w:rsidRPr="009C300B">
        <w:rPr>
          <w:rFonts w:ascii="Arial" w:eastAsia="Times New Roman" w:hAnsi="Arial" w:cs="Arial"/>
          <w:color w:val="1A1C1E"/>
          <w:kern w:val="0"/>
          <w:sz w:val="21"/>
          <w:szCs w:val="21"/>
          <w14:ligatures w14:val="none"/>
        </w:rPr>
        <w:t> to migrants who use official channels. To verify eligibility for this incentive, the bank must see the gross inflow of foreign currency.</w:t>
      </w:r>
    </w:p>
    <w:p w14:paraId="1A9084F6" w14:textId="77777777" w:rsidR="009C300B" w:rsidRPr="009C300B" w:rsidRDefault="009C300B" w:rsidP="009C300B">
      <w:pPr>
        <w:shd w:val="clear" w:color="auto" w:fill="FFFFFF"/>
        <w:spacing w:after="45" w:line="300" w:lineRule="atLeast"/>
        <w:ind w:left="720"/>
        <w:rPr>
          <w:rFonts w:ascii="Arial" w:eastAsia="Times New Roman" w:hAnsi="Arial" w:cs="Arial"/>
          <w:color w:val="1A1C1E"/>
          <w:kern w:val="0"/>
          <w:sz w:val="21"/>
          <w:szCs w:val="21"/>
          <w14:ligatures w14:val="none"/>
        </w:rPr>
      </w:pPr>
    </w:p>
    <w:p w14:paraId="6B30A635"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6. South Africa (SARB)</w:t>
      </w:r>
    </w:p>
    <w:p w14:paraId="4465387D"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While not an LMIC in the same sense as the others, South Africa has "Exchange Control" regulations that are very strict compared to the US or EU.</w:t>
      </w:r>
    </w:p>
    <w:p w14:paraId="7A34E95A" w14:textId="77777777" w:rsidR="009C300B" w:rsidRPr="009C300B" w:rsidRDefault="009C300B" w:rsidP="009C300B">
      <w:pPr>
        <w:numPr>
          <w:ilvl w:val="0"/>
          <w:numId w:val="6"/>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Rule:</w:t>
      </w:r>
      <w:r w:rsidRPr="009C300B">
        <w:rPr>
          <w:rFonts w:ascii="Arial" w:eastAsia="Times New Roman" w:hAnsi="Arial" w:cs="Arial"/>
          <w:color w:val="1A1C1E"/>
          <w:kern w:val="0"/>
          <w:sz w:val="21"/>
          <w:szCs w:val="21"/>
          <w14:ligatures w14:val="none"/>
        </w:rPr>
        <w:t> Authorized Dealers (banks) cannot net off-set payments without specific prior approval from the South African Reserve Bank.</w:t>
      </w:r>
    </w:p>
    <w:p w14:paraId="5AE908A5" w14:textId="77777777" w:rsidR="009C300B" w:rsidRPr="009C300B" w:rsidRDefault="009C300B" w:rsidP="009C300B">
      <w:pPr>
        <w:numPr>
          <w:ilvl w:val="0"/>
          <w:numId w:val="6"/>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Reason:</w:t>
      </w:r>
      <w:r w:rsidRPr="009C300B">
        <w:rPr>
          <w:rFonts w:ascii="Arial" w:eastAsia="Times New Roman" w:hAnsi="Arial" w:cs="Arial"/>
          <w:color w:val="1A1C1E"/>
          <w:kern w:val="0"/>
          <w:sz w:val="21"/>
          <w:szCs w:val="21"/>
          <w14:ligatures w14:val="none"/>
        </w:rPr>
        <w:t> To monitor the "Balance of Payments" (</w:t>
      </w:r>
      <w:proofErr w:type="spellStart"/>
      <w:r w:rsidRPr="009C300B">
        <w:rPr>
          <w:rFonts w:ascii="Arial" w:eastAsia="Times New Roman" w:hAnsi="Arial" w:cs="Arial"/>
          <w:color w:val="1A1C1E"/>
          <w:kern w:val="0"/>
          <w:sz w:val="21"/>
          <w:szCs w:val="21"/>
          <w14:ligatures w14:val="none"/>
        </w:rPr>
        <w:t>BoP</w:t>
      </w:r>
      <w:proofErr w:type="spellEnd"/>
      <w:r w:rsidRPr="009C300B">
        <w:rPr>
          <w:rFonts w:ascii="Arial" w:eastAsia="Times New Roman" w:hAnsi="Arial" w:cs="Arial"/>
          <w:color w:val="1A1C1E"/>
          <w:kern w:val="0"/>
          <w:sz w:val="21"/>
          <w:szCs w:val="21"/>
          <w14:ligatures w14:val="none"/>
        </w:rPr>
        <w:t>) accurately.</w:t>
      </w:r>
    </w:p>
    <w:p w14:paraId="38FD91F6" w14:textId="77777777" w:rsidR="009C300B" w:rsidRPr="009C300B" w:rsidRDefault="009C300B" w:rsidP="009C300B">
      <w:pPr>
        <w:spacing w:before="240" w:after="240" w:line="240" w:lineRule="auto"/>
        <w:rPr>
          <w:rFonts w:ascii="Arial" w:eastAsia="Times New Roman" w:hAnsi="Arial" w:cs="Arial"/>
          <w:kern w:val="0"/>
          <w:sz w:val="21"/>
          <w:szCs w:val="21"/>
          <w14:ligatures w14:val="none"/>
        </w:rPr>
      </w:pPr>
      <w:r w:rsidRPr="009C300B">
        <w:rPr>
          <w:rFonts w:ascii="Times New Roman" w:eastAsia="Times New Roman" w:hAnsi="Times New Roman" w:cs="Times New Roman"/>
          <w:kern w:val="0"/>
          <w14:ligatures w14:val="none"/>
        </w:rPr>
        <w:pict w14:anchorId="6C99F530">
          <v:rect id="_x0000_i1025" style="width:712.8pt;height:1.5pt" o:hrpct="0" o:hralign="center" o:hrstd="t" o:hr="t" fillcolor="#a0a0a0" stroked="f"/>
        </w:pict>
      </w:r>
    </w:p>
    <w:p w14:paraId="72D5530B" w14:textId="77777777" w:rsid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Why do these countries prohibit netting?</w:t>
      </w:r>
    </w:p>
    <w:p w14:paraId="60ED1EF7"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p>
    <w:p w14:paraId="7CDFD48A" w14:textId="77777777" w:rsidR="009C300B" w:rsidRPr="009C300B" w:rsidRDefault="009C300B" w:rsidP="009C300B">
      <w:pPr>
        <w:numPr>
          <w:ilvl w:val="0"/>
          <w:numId w:val="7"/>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Foreign Exchange Reserves:</w:t>
      </w:r>
      <w:r w:rsidRPr="009C300B">
        <w:rPr>
          <w:rFonts w:ascii="Arial" w:eastAsia="Times New Roman" w:hAnsi="Arial" w:cs="Arial"/>
          <w:color w:val="1A1C1E"/>
          <w:kern w:val="0"/>
          <w:sz w:val="21"/>
          <w:szCs w:val="21"/>
          <w14:ligatures w14:val="none"/>
        </w:rPr>
        <w:t> LMICs need hard currency to pay for imports and service national debt. Netting keeps that currency in offshore accounts (e.g., in London or New York), while gross settlement forces it into the local central bank.</w:t>
      </w:r>
    </w:p>
    <w:p w14:paraId="31E9A29A" w14:textId="77777777" w:rsidR="009C300B" w:rsidRPr="009C300B" w:rsidRDefault="009C300B" w:rsidP="009C300B">
      <w:pPr>
        <w:numPr>
          <w:ilvl w:val="0"/>
          <w:numId w:val="7"/>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Anti-Money Laundering (AML):</w:t>
      </w:r>
      <w:r w:rsidRPr="009C300B">
        <w:rPr>
          <w:rFonts w:ascii="Arial" w:eastAsia="Times New Roman" w:hAnsi="Arial" w:cs="Arial"/>
          <w:color w:val="1A1C1E"/>
          <w:kern w:val="0"/>
          <w:sz w:val="21"/>
          <w:szCs w:val="21"/>
          <w14:ligatures w14:val="none"/>
        </w:rPr>
        <w:t> Regulators want to see a 1:1 match between the person sending $200 and the physical $200 entering the country. Netting aggregates thousands of transactions, making it harder to track individual "dirty" money flows.</w:t>
      </w:r>
    </w:p>
    <w:p w14:paraId="6B0FBA25" w14:textId="77777777" w:rsidR="009C300B" w:rsidRPr="009C300B" w:rsidRDefault="009C300B" w:rsidP="009C300B">
      <w:pPr>
        <w:numPr>
          <w:ilvl w:val="0"/>
          <w:numId w:val="7"/>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lastRenderedPageBreak/>
        <w:t>Monetary Policy:</w:t>
      </w:r>
      <w:r w:rsidRPr="009C300B">
        <w:rPr>
          <w:rFonts w:ascii="Arial" w:eastAsia="Times New Roman" w:hAnsi="Arial" w:cs="Arial"/>
          <w:color w:val="1A1C1E"/>
          <w:kern w:val="0"/>
          <w:sz w:val="21"/>
          <w:szCs w:val="21"/>
          <w14:ligatures w14:val="none"/>
        </w:rPr>
        <w:t> If a large portion of a country's money supply moves via "netting," the Central Bank loses its ability to see the true demand for its currency, making it harder to manage inflation and interest rates.</w:t>
      </w:r>
    </w:p>
    <w:p w14:paraId="5565133A" w14:textId="77777777" w:rsidR="009C300B" w:rsidRDefault="009C300B" w:rsidP="009C300B">
      <w:pPr>
        <w:numPr>
          <w:ilvl w:val="0"/>
          <w:numId w:val="7"/>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Taxation:</w:t>
      </w:r>
      <w:r w:rsidRPr="009C300B">
        <w:rPr>
          <w:rFonts w:ascii="Arial" w:eastAsia="Times New Roman" w:hAnsi="Arial" w:cs="Arial"/>
          <w:color w:val="1A1C1E"/>
          <w:kern w:val="0"/>
          <w:sz w:val="21"/>
          <w:szCs w:val="21"/>
          <w14:ligatures w14:val="none"/>
        </w:rPr>
        <w:t> Gross settlement makes it easier for governments to apply "Remittance Taxes" or levies if they choose to do so.</w:t>
      </w:r>
    </w:p>
    <w:p w14:paraId="42306498" w14:textId="77777777" w:rsidR="009C300B" w:rsidRPr="009C300B" w:rsidRDefault="009C300B" w:rsidP="009C300B">
      <w:pPr>
        <w:shd w:val="clear" w:color="auto" w:fill="FFFFFF"/>
        <w:spacing w:after="45" w:line="300" w:lineRule="atLeast"/>
        <w:ind w:left="720"/>
        <w:rPr>
          <w:rFonts w:ascii="Arial" w:eastAsia="Times New Roman" w:hAnsi="Arial" w:cs="Arial"/>
          <w:color w:val="1A1C1E"/>
          <w:kern w:val="0"/>
          <w:sz w:val="21"/>
          <w:szCs w:val="21"/>
          <w14:ligatures w14:val="none"/>
        </w:rPr>
      </w:pPr>
    </w:p>
    <w:p w14:paraId="219F8697"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 xml:space="preserve">Summary for MTOs and </w:t>
      </w:r>
      <w:proofErr w:type="spellStart"/>
      <w:r w:rsidRPr="009C300B">
        <w:rPr>
          <w:rFonts w:ascii="Arial" w:eastAsia="Times New Roman" w:hAnsi="Arial" w:cs="Arial"/>
          <w:b/>
          <w:bCs/>
          <w:color w:val="1A1C1E"/>
          <w:kern w:val="0"/>
          <w:sz w:val="27"/>
          <w:szCs w:val="27"/>
          <w14:ligatures w14:val="none"/>
        </w:rPr>
        <w:t>Fintechs</w:t>
      </w:r>
      <w:proofErr w:type="spellEnd"/>
    </w:p>
    <w:p w14:paraId="60DF2BA3" w14:textId="03C9DE19" w:rsidR="00A03483" w:rsidRDefault="009C300B" w:rsidP="009C300B">
      <w:pPr>
        <w:shd w:val="clear" w:color="auto" w:fill="FFFFFF"/>
        <w:spacing w:before="100" w:beforeAutospacing="1" w:after="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If you are a Fintech company setting up a remittance corridor to </w:t>
      </w:r>
      <w:r w:rsidRPr="009C300B">
        <w:rPr>
          <w:rFonts w:ascii="Arial" w:eastAsia="Times New Roman" w:hAnsi="Arial" w:cs="Arial"/>
          <w:b/>
          <w:bCs/>
          <w:color w:val="1A1C1E"/>
          <w:kern w:val="0"/>
          <w:sz w:val="21"/>
          <w:szCs w:val="21"/>
          <w14:ligatures w14:val="none"/>
        </w:rPr>
        <w:t>Nigeria, Ethiopia, Pakistan, or Argentina</w:t>
      </w:r>
      <w:r w:rsidRPr="009C300B">
        <w:rPr>
          <w:rFonts w:ascii="Arial" w:eastAsia="Times New Roman" w:hAnsi="Arial" w:cs="Arial"/>
          <w:color w:val="1A1C1E"/>
          <w:kern w:val="0"/>
          <w:sz w:val="21"/>
          <w:szCs w:val="21"/>
          <w14:ligatures w14:val="none"/>
        </w:rPr>
        <w:t>, you cannot simply "balance the books" internally. You must prove to the local regulator that you are physically "wiring" the gross amount of all transactions into their banking system, usually via a </w:t>
      </w:r>
      <w:r w:rsidRPr="009C300B">
        <w:rPr>
          <w:rFonts w:ascii="Arial" w:eastAsia="Times New Roman" w:hAnsi="Arial" w:cs="Arial"/>
          <w:b/>
          <w:bCs/>
          <w:color w:val="1A1C1E"/>
          <w:kern w:val="0"/>
          <w:sz w:val="21"/>
          <w:szCs w:val="21"/>
          <w14:ligatures w14:val="none"/>
        </w:rPr>
        <w:t>Nostro account</w:t>
      </w:r>
      <w:r w:rsidRPr="009C300B">
        <w:rPr>
          <w:rFonts w:ascii="Arial" w:eastAsia="Times New Roman" w:hAnsi="Arial" w:cs="Arial"/>
          <w:color w:val="1A1C1E"/>
          <w:kern w:val="0"/>
          <w:sz w:val="21"/>
          <w:szCs w:val="21"/>
          <w14:ligatures w14:val="none"/>
        </w:rPr>
        <w:t>. Failing to do so can result in the immediate revocation of your license and accusations of running an illegal "Hawala" operation.</w:t>
      </w:r>
    </w:p>
    <w:p w14:paraId="05EE51CE" w14:textId="77777777" w:rsidR="009C300B" w:rsidRDefault="009C300B" w:rsidP="009C300B">
      <w:pPr>
        <w:shd w:val="clear" w:color="auto" w:fill="FFFFFF"/>
        <w:spacing w:before="100" w:beforeAutospacing="1" w:after="0" w:line="300" w:lineRule="atLeast"/>
        <w:rPr>
          <w:rFonts w:ascii="Arial" w:eastAsia="Times New Roman" w:hAnsi="Arial" w:cs="Arial"/>
          <w:color w:val="1A1C1E"/>
          <w:kern w:val="0"/>
          <w:sz w:val="21"/>
          <w:szCs w:val="21"/>
          <w14:ligatures w14:val="none"/>
        </w:rPr>
      </w:pPr>
    </w:p>
    <w:p w14:paraId="1795E333" w14:textId="77777777" w:rsidR="009C300B" w:rsidRPr="009C300B" w:rsidRDefault="009C300B" w:rsidP="009C300B">
      <w:pPr>
        <w:shd w:val="clear" w:color="auto" w:fill="FFFFFF"/>
        <w:spacing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In short, </w:t>
      </w:r>
      <w:r w:rsidRPr="009C300B">
        <w:rPr>
          <w:rFonts w:ascii="Arial" w:eastAsia="Times New Roman" w:hAnsi="Arial" w:cs="Arial"/>
          <w:b/>
          <w:bCs/>
          <w:color w:val="1A1C1E"/>
          <w:kern w:val="0"/>
          <w:sz w:val="21"/>
          <w:szCs w:val="21"/>
          <w14:ligatures w14:val="none"/>
        </w:rPr>
        <w:t>yes, India effectively prohibits the netting of private remittances.</w:t>
      </w:r>
    </w:p>
    <w:p w14:paraId="6C39D1FF"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The Reserve Bank of India (RBI) maintains a very strict "Gross Settlement" policy for inward personal remittances. This is designed to ensure that every dollar sent to India is accounted for in the nation’s foreign exchange reserves and to prevent the growth of informal "Hawala" (netting) networks.</w:t>
      </w:r>
    </w:p>
    <w:p w14:paraId="013A25DE"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Here is the breakdown of how this is regulated in India as of 2026:</w:t>
      </w:r>
    </w:p>
    <w:p w14:paraId="2ECB5D70"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1. The MTSS Framework (Money Transfer Service Scheme)</w:t>
      </w:r>
    </w:p>
    <w:p w14:paraId="4ACC5679"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Most personal remittances into India (via companies like Western Union, MoneyGram, or Ria) operate under the </w:t>
      </w:r>
      <w:r w:rsidRPr="009C300B">
        <w:rPr>
          <w:rFonts w:ascii="Arial" w:eastAsia="Times New Roman" w:hAnsi="Arial" w:cs="Arial"/>
          <w:b/>
          <w:bCs/>
          <w:color w:val="1A1C1E"/>
          <w:kern w:val="0"/>
          <w:sz w:val="21"/>
          <w:szCs w:val="21"/>
          <w14:ligatures w14:val="none"/>
        </w:rPr>
        <w:t>Money Transfer Service Scheme (MTSS)</w:t>
      </w:r>
      <w:r w:rsidRPr="009C300B">
        <w:rPr>
          <w:rFonts w:ascii="Arial" w:eastAsia="Times New Roman" w:hAnsi="Arial" w:cs="Arial"/>
          <w:color w:val="1A1C1E"/>
          <w:kern w:val="0"/>
          <w:sz w:val="21"/>
          <w:szCs w:val="21"/>
          <w14:ligatures w14:val="none"/>
        </w:rPr>
        <w:t>.</w:t>
      </w:r>
    </w:p>
    <w:p w14:paraId="1C1E3B8F" w14:textId="77777777" w:rsidR="009C300B" w:rsidRPr="009C300B" w:rsidRDefault="009C300B" w:rsidP="009C300B">
      <w:pPr>
        <w:numPr>
          <w:ilvl w:val="0"/>
          <w:numId w:val="8"/>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The No-Netting Rule:</w:t>
      </w:r>
      <w:r w:rsidRPr="009C300B">
        <w:rPr>
          <w:rFonts w:ascii="Arial" w:eastAsia="Times New Roman" w:hAnsi="Arial" w:cs="Arial"/>
          <w:color w:val="1A1C1E"/>
          <w:kern w:val="0"/>
          <w:sz w:val="21"/>
          <w:szCs w:val="21"/>
          <w14:ligatures w14:val="none"/>
        </w:rPr>
        <w:t> Under MTSS guidelines, the foreign Money Transfer Operator (MTO) is required to deposit the </w:t>
      </w:r>
      <w:r w:rsidRPr="009C300B">
        <w:rPr>
          <w:rFonts w:ascii="Arial" w:eastAsia="Times New Roman" w:hAnsi="Arial" w:cs="Arial"/>
          <w:b/>
          <w:bCs/>
          <w:color w:val="1A1C1E"/>
          <w:kern w:val="0"/>
          <w:sz w:val="21"/>
          <w:szCs w:val="21"/>
          <w14:ligatures w14:val="none"/>
        </w:rPr>
        <w:t>gross amount</w:t>
      </w:r>
      <w:r w:rsidRPr="009C300B">
        <w:rPr>
          <w:rFonts w:ascii="Arial" w:eastAsia="Times New Roman" w:hAnsi="Arial" w:cs="Arial"/>
          <w:color w:val="1A1C1E"/>
          <w:kern w:val="0"/>
          <w:sz w:val="21"/>
          <w:szCs w:val="21"/>
          <w14:ligatures w14:val="none"/>
        </w:rPr>
        <w:t> of all remittances into the "Nostro" account of the Indian partner bank.</w:t>
      </w:r>
    </w:p>
    <w:p w14:paraId="4EDFA5C7" w14:textId="77777777" w:rsidR="009C300B" w:rsidRDefault="009C300B" w:rsidP="009C300B">
      <w:pPr>
        <w:numPr>
          <w:ilvl w:val="0"/>
          <w:numId w:val="8"/>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One-Way Only:</w:t>
      </w:r>
      <w:r w:rsidRPr="009C300B">
        <w:rPr>
          <w:rFonts w:ascii="Arial" w:eastAsia="Times New Roman" w:hAnsi="Arial" w:cs="Arial"/>
          <w:color w:val="1A1C1E"/>
          <w:kern w:val="0"/>
          <w:sz w:val="21"/>
          <w:szCs w:val="21"/>
          <w14:ligatures w14:val="none"/>
        </w:rPr>
        <w:t> Crucially, the MTSS is a </w:t>
      </w:r>
      <w:r w:rsidRPr="009C300B">
        <w:rPr>
          <w:rFonts w:ascii="Arial" w:eastAsia="Times New Roman" w:hAnsi="Arial" w:cs="Arial"/>
          <w:b/>
          <w:bCs/>
          <w:color w:val="1A1C1E"/>
          <w:kern w:val="0"/>
          <w:sz w:val="21"/>
          <w:szCs w:val="21"/>
          <w14:ligatures w14:val="none"/>
        </w:rPr>
        <w:t>one-way inward-only</w:t>
      </w:r>
      <w:r w:rsidRPr="009C300B">
        <w:rPr>
          <w:rFonts w:ascii="Arial" w:eastAsia="Times New Roman" w:hAnsi="Arial" w:cs="Arial"/>
          <w:color w:val="1A1C1E"/>
          <w:kern w:val="0"/>
          <w:sz w:val="21"/>
          <w:szCs w:val="21"/>
          <w14:ligatures w14:val="none"/>
        </w:rPr>
        <w:t> scheme. You cannot use it to send money </w:t>
      </w:r>
      <w:r w:rsidRPr="009C300B">
        <w:rPr>
          <w:rFonts w:ascii="Arial" w:eastAsia="Times New Roman" w:hAnsi="Arial" w:cs="Arial"/>
          <w:i/>
          <w:iCs/>
          <w:color w:val="1A1C1E"/>
          <w:kern w:val="0"/>
          <w:sz w:val="21"/>
          <w:szCs w:val="21"/>
          <w14:ligatures w14:val="none"/>
        </w:rPr>
        <w:t>out</w:t>
      </w:r>
      <w:r w:rsidRPr="009C300B">
        <w:rPr>
          <w:rFonts w:ascii="Arial" w:eastAsia="Times New Roman" w:hAnsi="Arial" w:cs="Arial"/>
          <w:color w:val="1A1C1E"/>
          <w:kern w:val="0"/>
          <w:sz w:val="21"/>
          <w:szCs w:val="21"/>
          <w14:ligatures w14:val="none"/>
        </w:rPr>
        <w:t> of India. Because there is no legal "outflow" allowed under this scheme, there is nothing for an MTO to legally "net" against.</w:t>
      </w:r>
    </w:p>
    <w:p w14:paraId="2CE5E418" w14:textId="77777777" w:rsidR="009C300B" w:rsidRPr="009C300B" w:rsidRDefault="009C300B" w:rsidP="009C300B">
      <w:pPr>
        <w:shd w:val="clear" w:color="auto" w:fill="FFFFFF"/>
        <w:spacing w:after="45" w:line="300" w:lineRule="atLeast"/>
        <w:rPr>
          <w:rFonts w:ascii="Arial" w:eastAsia="Times New Roman" w:hAnsi="Arial" w:cs="Arial"/>
          <w:color w:val="1A1C1E"/>
          <w:kern w:val="0"/>
          <w:sz w:val="21"/>
          <w:szCs w:val="21"/>
          <w14:ligatures w14:val="none"/>
        </w:rPr>
      </w:pPr>
    </w:p>
    <w:p w14:paraId="74E7B269"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2. The Rupee Drawing Arrangement (RDA)</w:t>
      </w:r>
    </w:p>
    <w:p w14:paraId="77B44E4B"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For larger transfers or those involving exchange houses (common in the UAE and GCC), India uses the </w:t>
      </w:r>
      <w:r w:rsidRPr="009C300B">
        <w:rPr>
          <w:rFonts w:ascii="Arial" w:eastAsia="Times New Roman" w:hAnsi="Arial" w:cs="Arial"/>
          <w:b/>
          <w:bCs/>
          <w:color w:val="1A1C1E"/>
          <w:kern w:val="0"/>
          <w:sz w:val="21"/>
          <w:szCs w:val="21"/>
          <w14:ligatures w14:val="none"/>
        </w:rPr>
        <w:t>Rupee Drawing Arrangement (RDA)</w:t>
      </w:r>
      <w:r w:rsidRPr="009C300B">
        <w:rPr>
          <w:rFonts w:ascii="Arial" w:eastAsia="Times New Roman" w:hAnsi="Arial" w:cs="Arial"/>
          <w:color w:val="1A1C1E"/>
          <w:kern w:val="0"/>
          <w:sz w:val="21"/>
          <w:szCs w:val="21"/>
          <w14:ligatures w14:val="none"/>
        </w:rPr>
        <w:t>.</w:t>
      </w:r>
    </w:p>
    <w:p w14:paraId="5B2C7FAA" w14:textId="77777777" w:rsidR="009C300B" w:rsidRPr="009C300B" w:rsidRDefault="009C300B" w:rsidP="009C300B">
      <w:pPr>
        <w:numPr>
          <w:ilvl w:val="0"/>
          <w:numId w:val="9"/>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lastRenderedPageBreak/>
        <w:t>The RBI mandates that exchange houses must maintain separate accounts for different types of transactions.</w:t>
      </w:r>
    </w:p>
    <w:p w14:paraId="552A96AA" w14:textId="77777777" w:rsidR="009C300B" w:rsidRDefault="009C300B" w:rsidP="009C300B">
      <w:pPr>
        <w:numPr>
          <w:ilvl w:val="0"/>
          <w:numId w:val="9"/>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Prohibition of Offsetting:</w:t>
      </w:r>
      <w:r w:rsidRPr="009C300B">
        <w:rPr>
          <w:rFonts w:ascii="Arial" w:eastAsia="Times New Roman" w:hAnsi="Arial" w:cs="Arial"/>
          <w:color w:val="1A1C1E"/>
          <w:kern w:val="0"/>
          <w:sz w:val="21"/>
          <w:szCs w:val="21"/>
          <w14:ligatures w14:val="none"/>
        </w:rPr>
        <w:t> The RBI explicitly prohibits these exchange houses from offsetting (netting) their liabilities. They must remit the full value of the inward instructions to the Indian bank.</w:t>
      </w:r>
    </w:p>
    <w:p w14:paraId="3C9FC0CB" w14:textId="77777777" w:rsidR="009C300B" w:rsidRPr="009C300B" w:rsidRDefault="009C300B" w:rsidP="009C300B">
      <w:pPr>
        <w:shd w:val="clear" w:color="auto" w:fill="FFFFFF"/>
        <w:spacing w:after="45" w:line="300" w:lineRule="atLeast"/>
        <w:ind w:left="720"/>
        <w:rPr>
          <w:rFonts w:ascii="Arial" w:eastAsia="Times New Roman" w:hAnsi="Arial" w:cs="Arial"/>
          <w:color w:val="1A1C1E"/>
          <w:kern w:val="0"/>
          <w:sz w:val="21"/>
          <w:szCs w:val="21"/>
          <w14:ligatures w14:val="none"/>
        </w:rPr>
      </w:pPr>
    </w:p>
    <w:p w14:paraId="5DE2E5E7"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3. Why India is Strict on Netting</w:t>
      </w:r>
    </w:p>
    <w:p w14:paraId="649AA934"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India is the world's largest recipient of remittances ($135B+ in 2025). The RBI prohibits netting for three specific reasons:</w:t>
      </w:r>
    </w:p>
    <w:p w14:paraId="1C5A2B60" w14:textId="77777777" w:rsidR="009C300B" w:rsidRPr="009C300B" w:rsidRDefault="009C300B" w:rsidP="009C300B">
      <w:pPr>
        <w:numPr>
          <w:ilvl w:val="0"/>
          <w:numId w:val="10"/>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Forex Reserve Management:</w:t>
      </w:r>
      <w:r w:rsidRPr="009C300B">
        <w:rPr>
          <w:rFonts w:ascii="Arial" w:eastAsia="Times New Roman" w:hAnsi="Arial" w:cs="Arial"/>
          <w:color w:val="1A1C1E"/>
          <w:kern w:val="0"/>
          <w:sz w:val="21"/>
          <w:szCs w:val="21"/>
          <w14:ligatures w14:val="none"/>
        </w:rPr>
        <w:t> India relies on remittances to balance its "Current Account Deficit." If MTOs were allowed to net, a portion of that hard currency would stay in offshore accounts (e.g., in New York or Dubai) rather than hitting the RBI’s reserves.</w:t>
      </w:r>
    </w:p>
    <w:p w14:paraId="4A3EC28A" w14:textId="77777777" w:rsidR="009C300B" w:rsidRPr="009C300B" w:rsidRDefault="009C300B" w:rsidP="009C300B">
      <w:pPr>
        <w:numPr>
          <w:ilvl w:val="0"/>
          <w:numId w:val="10"/>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Hawala Prevention:</w:t>
      </w:r>
      <w:r w:rsidRPr="009C300B">
        <w:rPr>
          <w:rFonts w:ascii="Arial" w:eastAsia="Times New Roman" w:hAnsi="Arial" w:cs="Arial"/>
          <w:color w:val="1A1C1E"/>
          <w:kern w:val="0"/>
          <w:sz w:val="21"/>
          <w:szCs w:val="21"/>
          <w14:ligatures w14:val="none"/>
        </w:rPr>
        <w:t> Netting is the operational core of </w:t>
      </w:r>
      <w:r w:rsidRPr="009C300B">
        <w:rPr>
          <w:rFonts w:ascii="Arial" w:eastAsia="Times New Roman" w:hAnsi="Arial" w:cs="Arial"/>
          <w:b/>
          <w:bCs/>
          <w:color w:val="1A1C1E"/>
          <w:kern w:val="0"/>
          <w:sz w:val="21"/>
          <w:szCs w:val="21"/>
          <w14:ligatures w14:val="none"/>
        </w:rPr>
        <w:t>Hawala</w:t>
      </w:r>
      <w:r w:rsidRPr="009C300B">
        <w:rPr>
          <w:rFonts w:ascii="Arial" w:eastAsia="Times New Roman" w:hAnsi="Arial" w:cs="Arial"/>
          <w:color w:val="1A1C1E"/>
          <w:kern w:val="0"/>
          <w:sz w:val="21"/>
          <w:szCs w:val="21"/>
          <w14:ligatures w14:val="none"/>
        </w:rPr>
        <w:t>—the illegal, informal system used to move money without actual cross-border movement. By forcing "Gross Settlement," the RBI makes it much easier to distinguish between a legal fintech operation and an illegal Hawala ring.</w:t>
      </w:r>
    </w:p>
    <w:p w14:paraId="64B9F89B" w14:textId="77777777" w:rsidR="009C300B" w:rsidRDefault="009C300B" w:rsidP="009C300B">
      <w:pPr>
        <w:numPr>
          <w:ilvl w:val="0"/>
          <w:numId w:val="10"/>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t>Anti-Money Laundering (AML):</w:t>
      </w:r>
      <w:r w:rsidRPr="009C300B">
        <w:rPr>
          <w:rFonts w:ascii="Arial" w:eastAsia="Times New Roman" w:hAnsi="Arial" w:cs="Arial"/>
          <w:color w:val="1A1C1E"/>
          <w:kern w:val="0"/>
          <w:sz w:val="21"/>
          <w:szCs w:val="21"/>
          <w14:ligatures w14:val="none"/>
        </w:rPr>
        <w:t> To comply with FATF standards, India requires a clear "audit trail" for every single transaction. Netting creates a "black box" where thousands of small transactions are bundled into one net settlement, making it harder for regulators to see if illicit funds are hidden in the mix.</w:t>
      </w:r>
    </w:p>
    <w:p w14:paraId="73FF80A4" w14:textId="77777777" w:rsidR="009C300B" w:rsidRPr="009C300B" w:rsidRDefault="009C300B" w:rsidP="009C300B">
      <w:pPr>
        <w:shd w:val="clear" w:color="auto" w:fill="FFFFFF"/>
        <w:spacing w:after="45" w:line="300" w:lineRule="atLeast"/>
        <w:ind w:left="720"/>
        <w:rPr>
          <w:rFonts w:ascii="Arial" w:eastAsia="Times New Roman" w:hAnsi="Arial" w:cs="Arial"/>
          <w:color w:val="1A1C1E"/>
          <w:kern w:val="0"/>
          <w:sz w:val="21"/>
          <w:szCs w:val="21"/>
          <w14:ligatures w14:val="none"/>
        </w:rPr>
      </w:pPr>
    </w:p>
    <w:p w14:paraId="4D832F4B"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4. Trade Netting vs. Private Remittances</w:t>
      </w:r>
    </w:p>
    <w:p w14:paraId="3CBA3A0C"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It is important to note that the RBI is slightly more flexible with </w:t>
      </w:r>
      <w:r w:rsidRPr="009C300B">
        <w:rPr>
          <w:rFonts w:ascii="Arial" w:eastAsia="Times New Roman" w:hAnsi="Arial" w:cs="Arial"/>
          <w:b/>
          <w:bCs/>
          <w:color w:val="1A1C1E"/>
          <w:kern w:val="0"/>
          <w:sz w:val="21"/>
          <w:szCs w:val="21"/>
          <w14:ligatures w14:val="none"/>
        </w:rPr>
        <w:t>Trade Netting</w:t>
      </w:r>
      <w:r w:rsidRPr="009C300B">
        <w:rPr>
          <w:rFonts w:ascii="Arial" w:eastAsia="Times New Roman" w:hAnsi="Arial" w:cs="Arial"/>
          <w:color w:val="1A1C1E"/>
          <w:kern w:val="0"/>
          <w:sz w:val="21"/>
          <w:szCs w:val="21"/>
          <w14:ligatures w14:val="none"/>
        </w:rPr>
        <w:t> (Business-to-Business) than with </w:t>
      </w:r>
      <w:r w:rsidRPr="009C300B">
        <w:rPr>
          <w:rFonts w:ascii="Arial" w:eastAsia="Times New Roman" w:hAnsi="Arial" w:cs="Arial"/>
          <w:b/>
          <w:bCs/>
          <w:color w:val="1A1C1E"/>
          <w:kern w:val="0"/>
          <w:sz w:val="21"/>
          <w:szCs w:val="21"/>
          <w14:ligatures w14:val="none"/>
        </w:rPr>
        <w:t>Private Remittances</w:t>
      </w:r>
      <w:r w:rsidRPr="009C300B">
        <w:rPr>
          <w:rFonts w:ascii="Arial" w:eastAsia="Times New Roman" w:hAnsi="Arial" w:cs="Arial"/>
          <w:color w:val="1A1C1E"/>
          <w:kern w:val="0"/>
          <w:sz w:val="21"/>
          <w:szCs w:val="21"/>
          <w14:ligatures w14:val="none"/>
        </w:rPr>
        <w:t>.</w:t>
      </w:r>
    </w:p>
    <w:p w14:paraId="4F51A41E" w14:textId="77777777" w:rsidR="009C300B" w:rsidRPr="009C300B" w:rsidRDefault="009C300B" w:rsidP="009C300B">
      <w:pPr>
        <w:numPr>
          <w:ilvl w:val="0"/>
          <w:numId w:val="11"/>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In specific cases (usually involving large multinational groups), the RBI allows "Netting of Export Receivables against Import Payables."</w:t>
      </w:r>
    </w:p>
    <w:p w14:paraId="0A11F0DD" w14:textId="77777777" w:rsidR="009C300B" w:rsidRPr="009C300B" w:rsidRDefault="009C300B" w:rsidP="009C300B">
      <w:pPr>
        <w:numPr>
          <w:ilvl w:val="0"/>
          <w:numId w:val="11"/>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However, even for trade, this requires </w:t>
      </w:r>
      <w:r w:rsidRPr="009C300B">
        <w:rPr>
          <w:rFonts w:ascii="Arial" w:eastAsia="Times New Roman" w:hAnsi="Arial" w:cs="Arial"/>
          <w:b/>
          <w:bCs/>
          <w:color w:val="1A1C1E"/>
          <w:kern w:val="0"/>
          <w:sz w:val="21"/>
          <w:szCs w:val="21"/>
          <w14:ligatures w14:val="none"/>
        </w:rPr>
        <w:t>prior permission</w:t>
      </w:r>
      <w:r w:rsidRPr="009C300B">
        <w:rPr>
          <w:rFonts w:ascii="Arial" w:eastAsia="Times New Roman" w:hAnsi="Arial" w:cs="Arial"/>
          <w:color w:val="1A1C1E"/>
          <w:kern w:val="0"/>
          <w:sz w:val="21"/>
          <w:szCs w:val="21"/>
          <w14:ligatures w14:val="none"/>
        </w:rPr>
        <w:t> </w:t>
      </w:r>
      <w:proofErr w:type="gramStart"/>
      <w:r w:rsidRPr="009C300B">
        <w:rPr>
          <w:rFonts w:ascii="Arial" w:eastAsia="Times New Roman" w:hAnsi="Arial" w:cs="Arial"/>
          <w:color w:val="1A1C1E"/>
          <w:kern w:val="0"/>
          <w:sz w:val="21"/>
          <w:szCs w:val="21"/>
          <w14:ligatures w14:val="none"/>
        </w:rPr>
        <w:t>or</w:t>
      </w:r>
      <w:proofErr w:type="gramEnd"/>
      <w:r w:rsidRPr="009C300B">
        <w:rPr>
          <w:rFonts w:ascii="Arial" w:eastAsia="Times New Roman" w:hAnsi="Arial" w:cs="Arial"/>
          <w:color w:val="1A1C1E"/>
          <w:kern w:val="0"/>
          <w:sz w:val="21"/>
          <w:szCs w:val="21"/>
          <w14:ligatures w14:val="none"/>
        </w:rPr>
        <w:t xml:space="preserve"> must follow very strict "Master Directions." </w:t>
      </w:r>
      <w:r w:rsidRPr="009C300B">
        <w:rPr>
          <w:rFonts w:ascii="Arial" w:eastAsia="Times New Roman" w:hAnsi="Arial" w:cs="Arial"/>
          <w:b/>
          <w:bCs/>
          <w:color w:val="1A1C1E"/>
          <w:kern w:val="0"/>
          <w:sz w:val="21"/>
          <w:szCs w:val="21"/>
          <w14:ligatures w14:val="none"/>
        </w:rPr>
        <w:t>Personal/Private remittances are never allowed to be netted in this manner.</w:t>
      </w:r>
    </w:p>
    <w:p w14:paraId="0D97AE34" w14:textId="77777777" w:rsidR="009C300B" w:rsidRPr="009C300B" w:rsidRDefault="009C300B" w:rsidP="009C300B">
      <w:pPr>
        <w:numPr>
          <w:ilvl w:val="0"/>
          <w:numId w:val="11"/>
        </w:numPr>
        <w:shd w:val="clear" w:color="auto" w:fill="FFFFFF"/>
        <w:spacing w:after="45" w:line="300" w:lineRule="atLeast"/>
        <w:rPr>
          <w:rFonts w:ascii="Arial" w:eastAsia="Times New Roman" w:hAnsi="Arial" w:cs="Arial"/>
          <w:color w:val="1A1C1E"/>
          <w:kern w:val="0"/>
          <w:sz w:val="21"/>
          <w:szCs w:val="21"/>
          <w14:ligatures w14:val="none"/>
        </w:rPr>
      </w:pPr>
    </w:p>
    <w:p w14:paraId="6D51F937" w14:textId="77777777" w:rsidR="009C300B" w:rsidRPr="009C300B" w:rsidRDefault="009C300B" w:rsidP="009C300B">
      <w:pPr>
        <w:shd w:val="clear" w:color="auto" w:fill="FFFFFF"/>
        <w:spacing w:after="0" w:line="240" w:lineRule="auto"/>
        <w:outlineLvl w:val="2"/>
        <w:rPr>
          <w:rFonts w:ascii="Arial" w:eastAsia="Times New Roman" w:hAnsi="Arial" w:cs="Arial"/>
          <w:b/>
          <w:bCs/>
          <w:color w:val="1A1C1E"/>
          <w:kern w:val="0"/>
          <w:sz w:val="27"/>
          <w:szCs w:val="27"/>
          <w14:ligatures w14:val="none"/>
        </w:rPr>
      </w:pPr>
      <w:r w:rsidRPr="009C300B">
        <w:rPr>
          <w:rFonts w:ascii="Arial" w:eastAsia="Times New Roman" w:hAnsi="Arial" w:cs="Arial"/>
          <w:b/>
          <w:bCs/>
          <w:color w:val="1A1C1E"/>
          <w:kern w:val="0"/>
          <w:sz w:val="27"/>
          <w:szCs w:val="27"/>
          <w14:ligatures w14:val="none"/>
        </w:rPr>
        <w:t xml:space="preserve">Summary for </w:t>
      </w:r>
      <w:proofErr w:type="spellStart"/>
      <w:r w:rsidRPr="009C300B">
        <w:rPr>
          <w:rFonts w:ascii="Arial" w:eastAsia="Times New Roman" w:hAnsi="Arial" w:cs="Arial"/>
          <w:b/>
          <w:bCs/>
          <w:color w:val="1A1C1E"/>
          <w:kern w:val="0"/>
          <w:sz w:val="27"/>
          <w:szCs w:val="27"/>
          <w14:ligatures w14:val="none"/>
        </w:rPr>
        <w:t>Fintechs</w:t>
      </w:r>
      <w:proofErr w:type="spellEnd"/>
      <w:r w:rsidRPr="009C300B">
        <w:rPr>
          <w:rFonts w:ascii="Arial" w:eastAsia="Times New Roman" w:hAnsi="Arial" w:cs="Arial"/>
          <w:b/>
          <w:bCs/>
          <w:color w:val="1A1C1E"/>
          <w:kern w:val="0"/>
          <w:sz w:val="27"/>
          <w:szCs w:val="27"/>
          <w14:ligatures w14:val="none"/>
        </w:rPr>
        <w:t xml:space="preserve"> and Operators</w:t>
      </w:r>
    </w:p>
    <w:p w14:paraId="7CD2B640" w14:textId="77777777" w:rsidR="009C300B" w:rsidRPr="009C300B" w:rsidRDefault="009C300B" w:rsidP="009C300B">
      <w:pPr>
        <w:shd w:val="clear" w:color="auto" w:fill="FFFFFF"/>
        <w:spacing w:before="100" w:beforeAutospacing="1" w:after="270"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If you are operating a remittance corridor to India, you must:</w:t>
      </w:r>
    </w:p>
    <w:p w14:paraId="3AA6BE72" w14:textId="77777777" w:rsidR="009C300B" w:rsidRPr="009C300B" w:rsidRDefault="009C300B" w:rsidP="009C300B">
      <w:pPr>
        <w:numPr>
          <w:ilvl w:val="0"/>
          <w:numId w:val="12"/>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Ensure that for every ₹100,000 paid out to a recipient in India, the equivalent amount in USD/GBP/EUR has been physically wired into an Indian bank's Nostro account.</w:t>
      </w:r>
    </w:p>
    <w:p w14:paraId="29E4E55F" w14:textId="77777777" w:rsidR="009C300B" w:rsidRPr="009C300B" w:rsidRDefault="009C300B" w:rsidP="009C300B">
      <w:pPr>
        <w:numPr>
          <w:ilvl w:val="0"/>
          <w:numId w:val="12"/>
        </w:numPr>
        <w:shd w:val="clear" w:color="auto" w:fill="FFFFFF"/>
        <w:spacing w:after="45" w:line="300" w:lineRule="atLeast"/>
        <w:rPr>
          <w:rFonts w:ascii="Arial" w:eastAsia="Times New Roman" w:hAnsi="Arial" w:cs="Arial"/>
          <w:color w:val="1A1C1E"/>
          <w:kern w:val="0"/>
          <w:sz w:val="21"/>
          <w:szCs w:val="21"/>
          <w14:ligatures w14:val="none"/>
        </w:rPr>
      </w:pPr>
      <w:r w:rsidRPr="009C300B">
        <w:rPr>
          <w:rFonts w:ascii="Arial" w:eastAsia="Times New Roman" w:hAnsi="Arial" w:cs="Arial"/>
          <w:color w:val="1A1C1E"/>
          <w:kern w:val="0"/>
          <w:sz w:val="21"/>
          <w:szCs w:val="21"/>
          <w14:ligatures w14:val="none"/>
        </w:rPr>
        <w:t>Report the </w:t>
      </w:r>
      <w:r w:rsidRPr="009C300B">
        <w:rPr>
          <w:rFonts w:ascii="Arial" w:eastAsia="Times New Roman" w:hAnsi="Arial" w:cs="Arial"/>
          <w:b/>
          <w:bCs/>
          <w:color w:val="1A1C1E"/>
          <w:kern w:val="0"/>
          <w:sz w:val="21"/>
          <w:szCs w:val="21"/>
          <w14:ligatures w14:val="none"/>
        </w:rPr>
        <w:t>Gross Inward Remittance</w:t>
      </w:r>
      <w:r w:rsidRPr="009C300B">
        <w:rPr>
          <w:rFonts w:ascii="Arial" w:eastAsia="Times New Roman" w:hAnsi="Arial" w:cs="Arial"/>
          <w:color w:val="1A1C1E"/>
          <w:kern w:val="0"/>
          <w:sz w:val="21"/>
          <w:szCs w:val="21"/>
          <w14:ligatures w14:val="none"/>
        </w:rPr>
        <w:t> to the RBI through the "R-Return" (the reporting format for forex transactions).</w:t>
      </w:r>
    </w:p>
    <w:p w14:paraId="4D402BB4" w14:textId="77777777" w:rsidR="009C300B" w:rsidRPr="009C300B" w:rsidRDefault="009C300B" w:rsidP="009C300B">
      <w:pPr>
        <w:shd w:val="clear" w:color="auto" w:fill="FFFFFF"/>
        <w:spacing w:before="100" w:beforeAutospacing="1" w:after="0" w:line="300" w:lineRule="atLeast"/>
        <w:rPr>
          <w:rFonts w:ascii="Arial" w:eastAsia="Times New Roman" w:hAnsi="Arial" w:cs="Arial"/>
          <w:color w:val="1A1C1E"/>
          <w:kern w:val="0"/>
          <w:sz w:val="21"/>
          <w:szCs w:val="21"/>
          <w14:ligatures w14:val="none"/>
        </w:rPr>
      </w:pPr>
      <w:r w:rsidRPr="009C300B">
        <w:rPr>
          <w:rFonts w:ascii="Arial" w:eastAsia="Times New Roman" w:hAnsi="Arial" w:cs="Arial"/>
          <w:b/>
          <w:bCs/>
          <w:color w:val="1A1C1E"/>
          <w:kern w:val="0"/>
          <w:sz w:val="21"/>
          <w:szCs w:val="21"/>
          <w14:ligatures w14:val="none"/>
        </w:rPr>
        <w:lastRenderedPageBreak/>
        <w:t>Failure to comply is treated as a violation of the Foreign Exchange Management Act (FEMA), which carries heavy financial penalties and potential criminal charges.</w:t>
      </w:r>
    </w:p>
    <w:p w14:paraId="7B696763" w14:textId="77777777" w:rsidR="009C300B" w:rsidRPr="009C300B" w:rsidRDefault="009C300B" w:rsidP="009C300B">
      <w:pPr>
        <w:shd w:val="clear" w:color="auto" w:fill="FFFFFF"/>
        <w:spacing w:before="100" w:beforeAutospacing="1" w:after="0" w:line="300" w:lineRule="atLeast"/>
        <w:rPr>
          <w:rFonts w:ascii="Arial" w:eastAsia="Times New Roman" w:hAnsi="Arial" w:cs="Arial"/>
          <w:color w:val="1A1C1E"/>
          <w:kern w:val="0"/>
          <w:sz w:val="21"/>
          <w:szCs w:val="21"/>
          <w14:ligatures w14:val="none"/>
        </w:rPr>
      </w:pPr>
    </w:p>
    <w:sectPr w:rsidR="009C300B" w:rsidRPr="009C30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35FC3"/>
    <w:multiLevelType w:val="multilevel"/>
    <w:tmpl w:val="0C5C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D208F9"/>
    <w:multiLevelType w:val="multilevel"/>
    <w:tmpl w:val="EB687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FF77A0"/>
    <w:multiLevelType w:val="multilevel"/>
    <w:tmpl w:val="3032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F4515B"/>
    <w:multiLevelType w:val="multilevel"/>
    <w:tmpl w:val="E3F4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580D8F"/>
    <w:multiLevelType w:val="multilevel"/>
    <w:tmpl w:val="BEF0A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EC2689"/>
    <w:multiLevelType w:val="multilevel"/>
    <w:tmpl w:val="3FE4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AB68E8"/>
    <w:multiLevelType w:val="multilevel"/>
    <w:tmpl w:val="AB2E7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9056E3"/>
    <w:multiLevelType w:val="multilevel"/>
    <w:tmpl w:val="21AC3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E056AB"/>
    <w:multiLevelType w:val="multilevel"/>
    <w:tmpl w:val="2F36A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7D031D"/>
    <w:multiLevelType w:val="multilevel"/>
    <w:tmpl w:val="43903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C47FB9"/>
    <w:multiLevelType w:val="multilevel"/>
    <w:tmpl w:val="5ACCA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ED87268"/>
    <w:multiLevelType w:val="multilevel"/>
    <w:tmpl w:val="B7302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99455516">
    <w:abstractNumId w:val="3"/>
  </w:num>
  <w:num w:numId="2" w16cid:durableId="1147546779">
    <w:abstractNumId w:val="0"/>
  </w:num>
  <w:num w:numId="3" w16cid:durableId="646202217">
    <w:abstractNumId w:val="9"/>
  </w:num>
  <w:num w:numId="4" w16cid:durableId="870343667">
    <w:abstractNumId w:val="8"/>
  </w:num>
  <w:num w:numId="5" w16cid:durableId="1347441603">
    <w:abstractNumId w:val="4"/>
  </w:num>
  <w:num w:numId="6" w16cid:durableId="99297392">
    <w:abstractNumId w:val="2"/>
  </w:num>
  <w:num w:numId="7" w16cid:durableId="919370253">
    <w:abstractNumId w:val="1"/>
  </w:num>
  <w:num w:numId="8" w16cid:durableId="1588349374">
    <w:abstractNumId w:val="11"/>
  </w:num>
  <w:num w:numId="9" w16cid:durableId="306864390">
    <w:abstractNumId w:val="5"/>
  </w:num>
  <w:num w:numId="10" w16cid:durableId="968779777">
    <w:abstractNumId w:val="10"/>
  </w:num>
  <w:num w:numId="11" w16cid:durableId="1782870852">
    <w:abstractNumId w:val="6"/>
  </w:num>
  <w:num w:numId="12" w16cid:durableId="16381035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LYwMzU2MzMzNTewMDZQ0lEKTi0uzszPAykwrAUAa0jVaSwAAAA="/>
  </w:docVars>
  <w:rsids>
    <w:rsidRoot w:val="009C300B"/>
    <w:rsid w:val="005020E7"/>
    <w:rsid w:val="0098613E"/>
    <w:rsid w:val="009C300B"/>
    <w:rsid w:val="00A03483"/>
    <w:rsid w:val="00C63BB2"/>
    <w:rsid w:val="00F60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A2A47"/>
  <w15:chartTrackingRefBased/>
  <w15:docId w15:val="{992C858F-CD25-41A7-9A79-D5AA8641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C30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30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C30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30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30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30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30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30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30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30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30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C30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30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30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30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30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30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300B"/>
    <w:rPr>
      <w:rFonts w:eastAsiaTheme="majorEastAsia" w:cstheme="majorBidi"/>
      <w:color w:val="272727" w:themeColor="text1" w:themeTint="D8"/>
    </w:rPr>
  </w:style>
  <w:style w:type="paragraph" w:styleId="Title">
    <w:name w:val="Title"/>
    <w:basedOn w:val="Normal"/>
    <w:next w:val="Normal"/>
    <w:link w:val="TitleChar"/>
    <w:uiPriority w:val="10"/>
    <w:qFormat/>
    <w:rsid w:val="009C30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30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30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30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300B"/>
    <w:pPr>
      <w:spacing w:before="160"/>
      <w:jc w:val="center"/>
    </w:pPr>
    <w:rPr>
      <w:i/>
      <w:iCs/>
      <w:color w:val="404040" w:themeColor="text1" w:themeTint="BF"/>
    </w:rPr>
  </w:style>
  <w:style w:type="character" w:customStyle="1" w:styleId="QuoteChar">
    <w:name w:val="Quote Char"/>
    <w:basedOn w:val="DefaultParagraphFont"/>
    <w:link w:val="Quote"/>
    <w:uiPriority w:val="29"/>
    <w:rsid w:val="009C300B"/>
    <w:rPr>
      <w:i/>
      <w:iCs/>
      <w:color w:val="404040" w:themeColor="text1" w:themeTint="BF"/>
    </w:rPr>
  </w:style>
  <w:style w:type="paragraph" w:styleId="ListParagraph">
    <w:name w:val="List Paragraph"/>
    <w:basedOn w:val="Normal"/>
    <w:uiPriority w:val="34"/>
    <w:qFormat/>
    <w:rsid w:val="009C300B"/>
    <w:pPr>
      <w:ind w:left="720"/>
      <w:contextualSpacing/>
    </w:pPr>
  </w:style>
  <w:style w:type="character" w:styleId="IntenseEmphasis">
    <w:name w:val="Intense Emphasis"/>
    <w:basedOn w:val="DefaultParagraphFont"/>
    <w:uiPriority w:val="21"/>
    <w:qFormat/>
    <w:rsid w:val="009C300B"/>
    <w:rPr>
      <w:i/>
      <w:iCs/>
      <w:color w:val="0F4761" w:themeColor="accent1" w:themeShade="BF"/>
    </w:rPr>
  </w:style>
  <w:style w:type="paragraph" w:styleId="IntenseQuote">
    <w:name w:val="Intense Quote"/>
    <w:basedOn w:val="Normal"/>
    <w:next w:val="Normal"/>
    <w:link w:val="IntenseQuoteChar"/>
    <w:uiPriority w:val="30"/>
    <w:qFormat/>
    <w:rsid w:val="009C30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300B"/>
    <w:rPr>
      <w:i/>
      <w:iCs/>
      <w:color w:val="0F4761" w:themeColor="accent1" w:themeShade="BF"/>
    </w:rPr>
  </w:style>
  <w:style w:type="character" w:styleId="IntenseReference">
    <w:name w:val="Intense Reference"/>
    <w:basedOn w:val="DefaultParagraphFont"/>
    <w:uiPriority w:val="32"/>
    <w:qFormat/>
    <w:rsid w:val="009C300B"/>
    <w:rPr>
      <w:b/>
      <w:bCs/>
      <w:smallCaps/>
      <w:color w:val="0F4761" w:themeColor="accent1" w:themeShade="BF"/>
      <w:spacing w:val="5"/>
    </w:rPr>
  </w:style>
  <w:style w:type="paragraph" w:customStyle="1" w:styleId="ng-star-inserted">
    <w:name w:val="ng-star-inserted"/>
    <w:basedOn w:val="Normal"/>
    <w:rsid w:val="009C300B"/>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g-star-inserted1">
    <w:name w:val="ng-star-inserted1"/>
    <w:basedOn w:val="DefaultParagraphFont"/>
    <w:rsid w:val="009C30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1323</Words>
  <Characters>7238</Characters>
  <Application>Microsoft Office Word</Application>
  <DocSecurity>0</DocSecurity>
  <Lines>131</Lines>
  <Paragraphs>69</Paragraphs>
  <ScaleCrop>false</ScaleCrop>
  <Company/>
  <LinksUpToDate>false</LinksUpToDate>
  <CharactersWithSpaces>8492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MJ</dc:creator>
  <cp:keywords/>
  <dc:description/>
  <cp:lastModifiedBy>MJ</cp:lastModifiedBy>
  <cp:revision>1</cp:revision>
  <dcterms:created xsi:type="dcterms:W3CDTF">2026-01-26T01:42:00Z</dcterms:created>
  <dcterms:modified xsi:type="dcterms:W3CDTF">2026-01-26T01:51:00Z</dcterms:modified>
</cp:coreProperties>
</file>