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2D677" w14:textId="77777777" w:rsidR="00BD4BE3" w:rsidRPr="00BD4BE3" w:rsidRDefault="00BD4BE3" w:rsidP="00BD4BE3">
      <w:pPr>
        <w:shd w:val="clear" w:color="auto" w:fill="FFFFFF"/>
        <w:spacing w:after="270" w:line="300" w:lineRule="atLeast"/>
        <w:rPr>
          <w:rFonts w:ascii="Arial" w:eastAsia="Times New Roman" w:hAnsi="Arial" w:cs="Arial"/>
          <w:color w:val="1A1C1E"/>
          <w:kern w:val="0"/>
          <w:sz w:val="21"/>
          <w:szCs w:val="21"/>
          <w14:ligatures w14:val="none"/>
        </w:rPr>
      </w:pPr>
      <w:r w:rsidRPr="00BD4BE3">
        <w:rPr>
          <w:rFonts w:ascii="Arial" w:eastAsia="Times New Roman" w:hAnsi="Arial" w:cs="Arial"/>
          <w:color w:val="1A1C1E"/>
          <w:kern w:val="0"/>
          <w:sz w:val="21"/>
          <w:szCs w:val="21"/>
          <w14:ligatures w14:val="none"/>
        </w:rPr>
        <w:t>In the context of international remittances, </w:t>
      </w:r>
      <w:r w:rsidRPr="00BD4BE3">
        <w:rPr>
          <w:rFonts w:ascii="Arial" w:eastAsia="Times New Roman" w:hAnsi="Arial" w:cs="Arial"/>
          <w:b/>
          <w:bCs/>
          <w:color w:val="1A1C1E"/>
          <w:kern w:val="0"/>
          <w:sz w:val="21"/>
          <w:szCs w:val="21"/>
          <w14:ligatures w14:val="none"/>
        </w:rPr>
        <w:t>"Netting"</w:t>
      </w:r>
      <w:r w:rsidRPr="00BD4BE3">
        <w:rPr>
          <w:rFonts w:ascii="Arial" w:eastAsia="Times New Roman" w:hAnsi="Arial" w:cs="Arial"/>
          <w:color w:val="1A1C1E"/>
          <w:kern w:val="0"/>
          <w:sz w:val="21"/>
          <w:szCs w:val="21"/>
          <w14:ligatures w14:val="none"/>
        </w:rPr>
        <w:t> refers to a settlement process where a Money Transfer Operator (MTO) balances their inflows and outflows between two countries and only transfers the "net" difference across the border.</w:t>
      </w:r>
    </w:p>
    <w:p w14:paraId="04BA54A6" w14:textId="77777777" w:rsidR="00BD4BE3" w:rsidRPr="00BD4BE3" w:rsidRDefault="00BD4BE3" w:rsidP="00BD4BE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BD4BE3">
        <w:rPr>
          <w:rFonts w:ascii="Arial" w:eastAsia="Times New Roman" w:hAnsi="Arial" w:cs="Arial"/>
          <w:color w:val="1A1C1E"/>
          <w:kern w:val="0"/>
          <w:sz w:val="21"/>
          <w:szCs w:val="21"/>
          <w14:ligatures w14:val="none"/>
        </w:rPr>
        <w:t>Most Low- and Middle-Income Countries (LMICs) strictly mandate </w:t>
      </w:r>
      <w:r w:rsidRPr="00BD4BE3">
        <w:rPr>
          <w:rFonts w:ascii="Arial" w:eastAsia="Times New Roman" w:hAnsi="Arial" w:cs="Arial"/>
          <w:b/>
          <w:bCs/>
          <w:color w:val="1A1C1E"/>
          <w:kern w:val="0"/>
          <w:sz w:val="21"/>
          <w:szCs w:val="21"/>
          <w14:ligatures w14:val="none"/>
        </w:rPr>
        <w:t>Gross Settlement</w:t>
      </w:r>
      <w:r w:rsidRPr="00BD4BE3">
        <w:rPr>
          <w:rFonts w:ascii="Arial" w:eastAsia="Times New Roman" w:hAnsi="Arial" w:cs="Arial"/>
          <w:color w:val="1A1C1E"/>
          <w:kern w:val="0"/>
          <w:sz w:val="21"/>
          <w:szCs w:val="21"/>
          <w14:ligatures w14:val="none"/>
        </w:rPr>
        <w:t> to ensure every foreign dollar hits their national reserves. However, as of 2025–2026, a growing list of LMIC countries allows netting under specific regulatory frameworks, regional clearing systems, or updated foreign exchange (FX) laws.</w:t>
      </w:r>
    </w:p>
    <w:p w14:paraId="7B4E075F" w14:textId="77777777" w:rsidR="00BD4BE3" w:rsidRPr="00BD4BE3" w:rsidRDefault="00BD4BE3" w:rsidP="00BD4BE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BD4BE3">
        <w:rPr>
          <w:rFonts w:ascii="Arial" w:eastAsia="Times New Roman" w:hAnsi="Arial" w:cs="Arial"/>
          <w:b/>
          <w:bCs/>
          <w:color w:val="1A1C1E"/>
          <w:kern w:val="0"/>
          <w:sz w:val="27"/>
          <w:szCs w:val="27"/>
          <w14:ligatures w14:val="none"/>
        </w:rPr>
        <w:t>1. LMICs Allowing Netting via Global/Bilateral Frameworks</w:t>
      </w:r>
    </w:p>
    <w:p w14:paraId="7B7DB8A4" w14:textId="77777777" w:rsidR="00BD4BE3" w:rsidRPr="00BD4BE3" w:rsidRDefault="00BD4BE3" w:rsidP="00BD4BE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BD4BE3">
        <w:rPr>
          <w:rFonts w:ascii="Arial" w:eastAsia="Times New Roman" w:hAnsi="Arial" w:cs="Arial"/>
          <w:color w:val="1A1C1E"/>
          <w:kern w:val="0"/>
          <w:sz w:val="21"/>
          <w:szCs w:val="21"/>
          <w14:ligatures w14:val="none"/>
        </w:rPr>
        <w:t>These countries have recently modernized their FX laws or established "Local Currency Settlement" (LCS) frameworks that explicitly permit netting to reduce reliance on the US Dollar and improve liquidity for financial institutions.</w:t>
      </w:r>
    </w:p>
    <w:p w14:paraId="21216749" w14:textId="77777777" w:rsidR="00BD4BE3" w:rsidRPr="00BD4BE3" w:rsidRDefault="00BD4BE3" w:rsidP="00BD4BE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Malaysia:</w:t>
      </w:r>
      <w:r w:rsidRPr="00BD4BE3">
        <w:rPr>
          <w:rFonts w:ascii="Arial" w:eastAsia="Times New Roman" w:hAnsi="Arial" w:cs="Arial"/>
          <w:color w:val="1A1C1E"/>
          <w:kern w:val="0"/>
          <w:sz w:val="21"/>
          <w:szCs w:val="21"/>
          <w14:ligatures w14:val="none"/>
        </w:rPr>
        <w:t> The </w:t>
      </w:r>
      <w:r w:rsidRPr="00BD4BE3">
        <w:rPr>
          <w:rFonts w:ascii="Arial" w:eastAsia="Times New Roman" w:hAnsi="Arial" w:cs="Arial"/>
          <w:b/>
          <w:bCs/>
          <w:color w:val="1A1C1E"/>
          <w:kern w:val="0"/>
          <w:sz w:val="21"/>
          <w:szCs w:val="21"/>
          <w14:ligatures w14:val="none"/>
        </w:rPr>
        <w:t>Netting of Financial Agreements Act</w:t>
      </w:r>
      <w:r w:rsidRPr="00BD4BE3">
        <w:rPr>
          <w:rFonts w:ascii="Arial" w:eastAsia="Times New Roman" w:hAnsi="Arial" w:cs="Arial"/>
          <w:color w:val="1A1C1E"/>
          <w:kern w:val="0"/>
          <w:sz w:val="21"/>
          <w:szCs w:val="21"/>
          <w14:ligatures w14:val="none"/>
        </w:rPr>
        <w:t> and recent BNM liberalizations allow licensed entities to net-off export proceeds and permitted foreign currency obligations.</w:t>
      </w:r>
    </w:p>
    <w:p w14:paraId="1984312A" w14:textId="77777777" w:rsidR="00BD4BE3" w:rsidRPr="00BD4BE3" w:rsidRDefault="00BD4BE3" w:rsidP="00BD4BE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Brazil:</w:t>
      </w:r>
      <w:r w:rsidRPr="00BD4BE3">
        <w:rPr>
          <w:rFonts w:ascii="Arial" w:eastAsia="Times New Roman" w:hAnsi="Arial" w:cs="Arial"/>
          <w:color w:val="1A1C1E"/>
          <w:kern w:val="0"/>
          <w:sz w:val="21"/>
          <w:szCs w:val="21"/>
          <w14:ligatures w14:val="none"/>
        </w:rPr>
        <w:t> Under </w:t>
      </w:r>
      <w:r w:rsidRPr="00BD4BE3">
        <w:rPr>
          <w:rFonts w:ascii="Arial" w:eastAsia="Times New Roman" w:hAnsi="Arial" w:cs="Arial"/>
          <w:b/>
          <w:bCs/>
          <w:color w:val="1A1C1E"/>
          <w:kern w:val="0"/>
          <w:sz w:val="21"/>
          <w:szCs w:val="21"/>
          <w14:ligatures w14:val="none"/>
        </w:rPr>
        <w:t>Law No. 14,286 (The New FX Law)</w:t>
      </w:r>
      <w:r w:rsidRPr="00BD4BE3">
        <w:rPr>
          <w:rFonts w:ascii="Arial" w:eastAsia="Times New Roman" w:hAnsi="Arial" w:cs="Arial"/>
          <w:color w:val="1A1C1E"/>
          <w:kern w:val="0"/>
          <w:sz w:val="21"/>
          <w:szCs w:val="21"/>
          <w14:ligatures w14:val="none"/>
        </w:rPr>
        <w:t> effective in late 2022/2023, Brazil significantly liberalized its market, allowing for broader intercompany netting and "offsetting" of credits between residents and non-residents.</w:t>
      </w:r>
    </w:p>
    <w:p w14:paraId="7F5EE355" w14:textId="77777777" w:rsidR="00BD4BE3" w:rsidRPr="00BD4BE3" w:rsidRDefault="00BD4BE3" w:rsidP="00BD4BE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Indonesia:</w:t>
      </w:r>
      <w:r w:rsidRPr="00BD4BE3">
        <w:rPr>
          <w:rFonts w:ascii="Arial" w:eastAsia="Times New Roman" w:hAnsi="Arial" w:cs="Arial"/>
          <w:color w:val="1A1C1E"/>
          <w:kern w:val="0"/>
          <w:sz w:val="21"/>
          <w:szCs w:val="21"/>
          <w14:ligatures w14:val="none"/>
        </w:rPr>
        <w:t> Through its </w:t>
      </w:r>
      <w:r w:rsidRPr="00BD4BE3">
        <w:rPr>
          <w:rFonts w:ascii="Arial" w:eastAsia="Times New Roman" w:hAnsi="Arial" w:cs="Arial"/>
          <w:b/>
          <w:bCs/>
          <w:color w:val="1A1C1E"/>
          <w:kern w:val="0"/>
          <w:sz w:val="21"/>
          <w:szCs w:val="21"/>
          <w14:ligatures w14:val="none"/>
        </w:rPr>
        <w:t>LCS (Local Currency Settlement)</w:t>
      </w:r>
      <w:r w:rsidRPr="00BD4BE3">
        <w:rPr>
          <w:rFonts w:ascii="Arial" w:eastAsia="Times New Roman" w:hAnsi="Arial" w:cs="Arial"/>
          <w:color w:val="1A1C1E"/>
          <w:kern w:val="0"/>
          <w:sz w:val="21"/>
          <w:szCs w:val="21"/>
          <w14:ligatures w14:val="none"/>
        </w:rPr>
        <w:t> hubs with partners like Thailand and Malaysia, Bank Indonesia allows "Appointed Cross Currency Dealers" (ACCD) to settle positions on a net basis.</w:t>
      </w:r>
    </w:p>
    <w:p w14:paraId="7644343A" w14:textId="77777777" w:rsidR="00BD4BE3" w:rsidRPr="00BD4BE3" w:rsidRDefault="00BD4BE3" w:rsidP="00BD4BE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Thailand:</w:t>
      </w:r>
      <w:r w:rsidRPr="00BD4BE3">
        <w:rPr>
          <w:rFonts w:ascii="Arial" w:eastAsia="Times New Roman" w:hAnsi="Arial" w:cs="Arial"/>
          <w:color w:val="1A1C1E"/>
          <w:kern w:val="0"/>
          <w:sz w:val="21"/>
          <w:szCs w:val="21"/>
          <w14:ligatures w14:val="none"/>
        </w:rPr>
        <w:t> The Bank of Thailand permits foreign currencies received from abroad to be </w:t>
      </w:r>
      <w:r w:rsidRPr="00BD4BE3">
        <w:rPr>
          <w:rFonts w:ascii="Arial" w:eastAsia="Times New Roman" w:hAnsi="Arial" w:cs="Arial"/>
          <w:b/>
          <w:bCs/>
          <w:color w:val="1A1C1E"/>
          <w:kern w:val="0"/>
          <w:sz w:val="21"/>
          <w:szCs w:val="21"/>
          <w14:ligatures w14:val="none"/>
        </w:rPr>
        <w:t>netted with permitted obligations</w:t>
      </w:r>
      <w:r w:rsidRPr="00BD4BE3">
        <w:rPr>
          <w:rFonts w:ascii="Arial" w:eastAsia="Times New Roman" w:hAnsi="Arial" w:cs="Arial"/>
          <w:color w:val="1A1C1E"/>
          <w:kern w:val="0"/>
          <w:sz w:val="21"/>
          <w:szCs w:val="21"/>
          <w14:ligatures w14:val="none"/>
        </w:rPr>
        <w:t> to non-residents without mandatory repatriation of the gross amount.</w:t>
      </w:r>
    </w:p>
    <w:p w14:paraId="31949B1E" w14:textId="77777777" w:rsidR="00BD4BE3" w:rsidRPr="00BD4BE3" w:rsidRDefault="00BD4BE3" w:rsidP="00BD4BE3">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Philippines:</w:t>
      </w:r>
      <w:r w:rsidRPr="00BD4BE3">
        <w:rPr>
          <w:rFonts w:ascii="Arial" w:eastAsia="Times New Roman" w:hAnsi="Arial" w:cs="Arial"/>
          <w:color w:val="1A1C1E"/>
          <w:kern w:val="0"/>
          <w:sz w:val="21"/>
          <w:szCs w:val="21"/>
          <w14:ligatures w14:val="none"/>
        </w:rPr>
        <w:t> While individual P2P transfers are closely monitored, the BSP allows </w:t>
      </w:r>
      <w:r w:rsidRPr="00BD4BE3">
        <w:rPr>
          <w:rFonts w:ascii="Arial" w:eastAsia="Times New Roman" w:hAnsi="Arial" w:cs="Arial"/>
          <w:b/>
          <w:bCs/>
          <w:color w:val="1A1C1E"/>
          <w:kern w:val="0"/>
          <w:sz w:val="21"/>
          <w:szCs w:val="21"/>
          <w14:ligatures w14:val="none"/>
        </w:rPr>
        <w:t>Intercompany Netting Arrangements</w:t>
      </w:r>
      <w:r w:rsidRPr="00BD4BE3">
        <w:rPr>
          <w:rFonts w:ascii="Arial" w:eastAsia="Times New Roman" w:hAnsi="Arial" w:cs="Arial"/>
          <w:color w:val="1A1C1E"/>
          <w:kern w:val="0"/>
          <w:sz w:val="21"/>
          <w:szCs w:val="21"/>
          <w14:ligatures w14:val="none"/>
        </w:rPr>
        <w:t> for trade in goods and services between related parties.</w:t>
      </w:r>
    </w:p>
    <w:p w14:paraId="2D0FA617" w14:textId="77777777" w:rsidR="00BD4BE3" w:rsidRPr="00BD4BE3" w:rsidRDefault="00BD4BE3" w:rsidP="00BD4BE3">
      <w:pPr>
        <w:spacing w:before="240" w:after="240" w:line="240" w:lineRule="auto"/>
        <w:rPr>
          <w:rFonts w:ascii="Arial" w:eastAsia="Times New Roman" w:hAnsi="Arial" w:cs="Arial"/>
          <w:kern w:val="0"/>
          <w:sz w:val="21"/>
          <w:szCs w:val="21"/>
          <w14:ligatures w14:val="none"/>
        </w:rPr>
      </w:pPr>
      <w:r w:rsidRPr="00BD4BE3">
        <w:rPr>
          <w:rFonts w:ascii="Times New Roman" w:eastAsia="Times New Roman" w:hAnsi="Times New Roman" w:cs="Times New Roman"/>
          <w:kern w:val="0"/>
          <w14:ligatures w14:val="none"/>
        </w:rPr>
        <w:pict w14:anchorId="1A2D7CEE">
          <v:rect id="_x0000_i1025" style="width:712.8pt;height:1.5pt" o:hrpct="0" o:hralign="center" o:hrstd="t" o:hr="t" fillcolor="#a0a0a0" stroked="f"/>
        </w:pict>
      </w:r>
    </w:p>
    <w:p w14:paraId="4C63922D" w14:textId="77777777" w:rsidR="00BD4BE3" w:rsidRPr="00BD4BE3" w:rsidRDefault="00BD4BE3" w:rsidP="00BD4BE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BD4BE3">
        <w:rPr>
          <w:rFonts w:ascii="Arial" w:eastAsia="Times New Roman" w:hAnsi="Arial" w:cs="Arial"/>
          <w:b/>
          <w:bCs/>
          <w:color w:val="1A1C1E"/>
          <w:kern w:val="0"/>
          <w:sz w:val="27"/>
          <w:szCs w:val="27"/>
          <w14:ligatures w14:val="none"/>
        </w:rPr>
        <w:t>2. LMICs Allowing Netting via Regional Clearing Houses</w:t>
      </w:r>
    </w:p>
    <w:p w14:paraId="22EBAFAD" w14:textId="77777777" w:rsidR="00BD4BE3" w:rsidRPr="00BD4BE3" w:rsidRDefault="00BD4BE3" w:rsidP="00BD4BE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BD4BE3">
        <w:rPr>
          <w:rFonts w:ascii="Arial" w:eastAsia="Times New Roman" w:hAnsi="Arial" w:cs="Arial"/>
          <w:color w:val="1A1C1E"/>
          <w:kern w:val="0"/>
          <w:sz w:val="21"/>
          <w:szCs w:val="21"/>
          <w14:ligatures w14:val="none"/>
        </w:rPr>
        <w:t>Several LMICs have joined centralized systems where the </w:t>
      </w:r>
      <w:r w:rsidRPr="00BD4BE3">
        <w:rPr>
          <w:rFonts w:ascii="Arial" w:eastAsia="Times New Roman" w:hAnsi="Arial" w:cs="Arial"/>
          <w:b/>
          <w:bCs/>
          <w:color w:val="1A1C1E"/>
          <w:kern w:val="0"/>
          <w:sz w:val="21"/>
          <w:szCs w:val="21"/>
          <w14:ligatures w14:val="none"/>
        </w:rPr>
        <w:t>clearing house</w:t>
      </w:r>
      <w:r w:rsidRPr="00BD4BE3">
        <w:rPr>
          <w:rFonts w:ascii="Arial" w:eastAsia="Times New Roman" w:hAnsi="Arial" w:cs="Arial"/>
          <w:color w:val="1A1C1E"/>
          <w:kern w:val="0"/>
          <w:sz w:val="21"/>
          <w:szCs w:val="21"/>
          <w14:ligatures w14:val="none"/>
        </w:rPr>
        <w:t> performs the netting on behalf of all participants. Individual MTOs may still be required to report gross values, but the physical cross-border movement of funds is netted.</w:t>
      </w:r>
    </w:p>
    <w:p w14:paraId="46BF45D5" w14:textId="77777777" w:rsidR="00BD4BE3" w:rsidRPr="00BD4BE3" w:rsidRDefault="00BD4BE3" w:rsidP="00BD4BE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PAPSS Members (Africa):</w:t>
      </w:r>
      <w:r w:rsidRPr="00BD4BE3">
        <w:rPr>
          <w:rFonts w:ascii="Arial" w:eastAsia="Times New Roman" w:hAnsi="Arial" w:cs="Arial"/>
          <w:color w:val="1A1C1E"/>
          <w:kern w:val="0"/>
          <w:sz w:val="21"/>
          <w:szCs w:val="21"/>
          <w14:ligatures w14:val="none"/>
        </w:rPr>
        <w:t> The </w:t>
      </w:r>
      <w:r w:rsidRPr="00BD4BE3">
        <w:rPr>
          <w:rFonts w:ascii="Arial" w:eastAsia="Times New Roman" w:hAnsi="Arial" w:cs="Arial"/>
          <w:i/>
          <w:iCs/>
          <w:color w:val="1A1C1E"/>
          <w:kern w:val="0"/>
          <w:sz w:val="21"/>
          <w:szCs w:val="21"/>
          <w14:ligatures w14:val="none"/>
        </w:rPr>
        <w:t>Pan-African Payment and Settlement System</w:t>
      </w:r>
      <w:r w:rsidRPr="00BD4BE3">
        <w:rPr>
          <w:rFonts w:ascii="Arial" w:eastAsia="Times New Roman" w:hAnsi="Arial" w:cs="Arial"/>
          <w:color w:val="1A1C1E"/>
          <w:kern w:val="0"/>
          <w:sz w:val="21"/>
          <w:szCs w:val="21"/>
          <w14:ligatures w14:val="none"/>
        </w:rPr>
        <w:t> </w:t>
      </w:r>
      <w:proofErr w:type="gramStart"/>
      <w:r w:rsidRPr="00BD4BE3">
        <w:rPr>
          <w:rFonts w:ascii="Arial" w:eastAsia="Times New Roman" w:hAnsi="Arial" w:cs="Arial"/>
          <w:color w:val="1A1C1E"/>
          <w:kern w:val="0"/>
          <w:sz w:val="21"/>
          <w:szCs w:val="21"/>
          <w14:ligatures w14:val="none"/>
        </w:rPr>
        <w:t>performs</w:t>
      </w:r>
      <w:proofErr w:type="gramEnd"/>
      <w:r w:rsidRPr="00BD4BE3">
        <w:rPr>
          <w:rFonts w:ascii="Arial" w:eastAsia="Times New Roman" w:hAnsi="Arial" w:cs="Arial"/>
          <w:color w:val="1A1C1E"/>
          <w:kern w:val="0"/>
          <w:sz w:val="21"/>
          <w:szCs w:val="21"/>
          <w14:ligatures w14:val="none"/>
        </w:rPr>
        <w:t xml:space="preserve"> daily centralized netting across participating nations.</w:t>
      </w:r>
    </w:p>
    <w:p w14:paraId="32E6C8E2" w14:textId="77777777" w:rsidR="00BD4BE3" w:rsidRPr="00BD4BE3" w:rsidRDefault="00BD4BE3" w:rsidP="00BD4BE3">
      <w:pPr>
        <w:numPr>
          <w:ilvl w:val="1"/>
          <w:numId w:val="2"/>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Current Active/Onboarding LMIC Members:</w:t>
      </w:r>
      <w:r w:rsidRPr="00BD4BE3">
        <w:rPr>
          <w:rFonts w:ascii="Arial" w:eastAsia="Times New Roman" w:hAnsi="Arial" w:cs="Arial"/>
          <w:color w:val="1A1C1E"/>
          <w:kern w:val="0"/>
          <w:sz w:val="21"/>
          <w:szCs w:val="21"/>
          <w14:ligatures w14:val="none"/>
        </w:rPr>
        <w:t> Ghana, The Gambia, Guinea, Liberia, Nigeria, Sierra Leone, Djibouti, Zimbabwe, Zambia, Morocco, Tunisia, Egypt, and Algeria (as of late 2025).</w:t>
      </w:r>
    </w:p>
    <w:p w14:paraId="5AB54B09" w14:textId="77777777" w:rsidR="00BD4BE3" w:rsidRPr="00BD4BE3" w:rsidRDefault="00BD4BE3" w:rsidP="00BD4BE3">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lastRenderedPageBreak/>
        <w:t>Project Nexus / ASEAN-5 (Southeast Asia):</w:t>
      </w:r>
      <w:r w:rsidRPr="00BD4BE3">
        <w:rPr>
          <w:rFonts w:ascii="Arial" w:eastAsia="Times New Roman" w:hAnsi="Arial" w:cs="Arial"/>
          <w:color w:val="1A1C1E"/>
          <w:kern w:val="0"/>
          <w:sz w:val="21"/>
          <w:szCs w:val="21"/>
          <w14:ligatures w14:val="none"/>
        </w:rPr>
        <w:t> This system links the fast payment systems of </w:t>
      </w:r>
      <w:r w:rsidRPr="00BD4BE3">
        <w:rPr>
          <w:rFonts w:ascii="Arial" w:eastAsia="Times New Roman" w:hAnsi="Arial" w:cs="Arial"/>
          <w:b/>
          <w:bCs/>
          <w:color w:val="1A1C1E"/>
          <w:kern w:val="0"/>
          <w:sz w:val="21"/>
          <w:szCs w:val="21"/>
          <w14:ligatures w14:val="none"/>
        </w:rPr>
        <w:t>Malaysia, Philippines, Indonesia, Thailand, and Singapore</w:t>
      </w:r>
      <w:r w:rsidRPr="00BD4BE3">
        <w:rPr>
          <w:rFonts w:ascii="Arial" w:eastAsia="Times New Roman" w:hAnsi="Arial" w:cs="Arial"/>
          <w:color w:val="1A1C1E"/>
          <w:kern w:val="0"/>
          <w:sz w:val="21"/>
          <w:szCs w:val="21"/>
          <w14:ligatures w14:val="none"/>
        </w:rPr>
        <w:t> (and increasingly Vietnam). While it aims for instant gross transfers for the end-user, the settlement between central systems often uses a </w:t>
      </w:r>
      <w:r w:rsidRPr="00BD4BE3">
        <w:rPr>
          <w:rFonts w:ascii="Arial" w:eastAsia="Times New Roman" w:hAnsi="Arial" w:cs="Arial"/>
          <w:b/>
          <w:bCs/>
          <w:color w:val="1A1C1E"/>
          <w:kern w:val="0"/>
          <w:sz w:val="21"/>
          <w:szCs w:val="21"/>
          <w14:ligatures w14:val="none"/>
        </w:rPr>
        <w:t>Deferred Net Settlement (DNS)</w:t>
      </w:r>
      <w:r w:rsidRPr="00BD4BE3">
        <w:rPr>
          <w:rFonts w:ascii="Arial" w:eastAsia="Times New Roman" w:hAnsi="Arial" w:cs="Arial"/>
          <w:color w:val="1A1C1E"/>
          <w:kern w:val="0"/>
          <w:sz w:val="21"/>
          <w:szCs w:val="21"/>
          <w14:ligatures w14:val="none"/>
        </w:rPr>
        <w:t> model.</w:t>
      </w:r>
    </w:p>
    <w:p w14:paraId="780C764D" w14:textId="77777777" w:rsidR="00BD4BE3" w:rsidRPr="00BD4BE3" w:rsidRDefault="00BD4BE3" w:rsidP="00BD4BE3">
      <w:pPr>
        <w:spacing w:before="240" w:after="240" w:line="240" w:lineRule="auto"/>
        <w:rPr>
          <w:rFonts w:ascii="Arial" w:eastAsia="Times New Roman" w:hAnsi="Arial" w:cs="Arial"/>
          <w:kern w:val="0"/>
          <w:sz w:val="21"/>
          <w:szCs w:val="21"/>
          <w14:ligatures w14:val="none"/>
        </w:rPr>
      </w:pPr>
      <w:r w:rsidRPr="00BD4BE3">
        <w:rPr>
          <w:rFonts w:ascii="Times New Roman" w:eastAsia="Times New Roman" w:hAnsi="Times New Roman" w:cs="Times New Roman"/>
          <w:kern w:val="0"/>
          <w14:ligatures w14:val="none"/>
        </w:rPr>
        <w:pict w14:anchorId="5E1E7E64">
          <v:rect id="_x0000_i1026" style="width:712.8pt;height:1.5pt" o:hrpct="0" o:hralign="center" o:hrstd="t" o:hr="t" fillcolor="#a0a0a0" stroked="f"/>
        </w:pict>
      </w:r>
    </w:p>
    <w:p w14:paraId="1123669B" w14:textId="77777777" w:rsidR="00BD4BE3" w:rsidRPr="00BD4BE3" w:rsidRDefault="00BD4BE3" w:rsidP="00BD4BE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BD4BE3">
        <w:rPr>
          <w:rFonts w:ascii="Arial" w:eastAsia="Times New Roman" w:hAnsi="Arial" w:cs="Arial"/>
          <w:b/>
          <w:bCs/>
          <w:color w:val="1A1C1E"/>
          <w:kern w:val="0"/>
          <w:sz w:val="27"/>
          <w:szCs w:val="27"/>
          <w14:ligatures w14:val="none"/>
        </w:rPr>
        <w:t>3. Known Prohibitions: Countries Requiring "Gross Settlement"</w:t>
      </w:r>
    </w:p>
    <w:p w14:paraId="1623FAE3" w14:textId="77777777" w:rsidR="00BD4BE3" w:rsidRPr="00BD4BE3" w:rsidRDefault="00BD4BE3" w:rsidP="00BD4BE3">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BD4BE3">
        <w:rPr>
          <w:rFonts w:ascii="Arial" w:eastAsia="Times New Roman" w:hAnsi="Arial" w:cs="Arial"/>
          <w:color w:val="1A1C1E"/>
          <w:kern w:val="0"/>
          <w:sz w:val="21"/>
          <w:szCs w:val="21"/>
          <w14:ligatures w14:val="none"/>
        </w:rPr>
        <w:t>For these countries, any attempt to "net" or "offset" payments is typically viewed as an illegal </w:t>
      </w:r>
      <w:r w:rsidRPr="00BD4BE3">
        <w:rPr>
          <w:rFonts w:ascii="Arial" w:eastAsia="Times New Roman" w:hAnsi="Arial" w:cs="Arial"/>
          <w:b/>
          <w:bCs/>
          <w:color w:val="1A1C1E"/>
          <w:kern w:val="0"/>
          <w:sz w:val="21"/>
          <w:szCs w:val="21"/>
          <w14:ligatures w14:val="none"/>
        </w:rPr>
        <w:t>Hawala</w:t>
      </w:r>
      <w:r w:rsidRPr="00BD4BE3">
        <w:rPr>
          <w:rFonts w:ascii="Arial" w:eastAsia="Times New Roman" w:hAnsi="Arial" w:cs="Arial"/>
          <w:color w:val="1A1C1E"/>
          <w:kern w:val="0"/>
          <w:sz w:val="21"/>
          <w:szCs w:val="21"/>
          <w14:ligatures w14:val="none"/>
        </w:rPr>
        <w:t> or </w:t>
      </w:r>
      <w:r w:rsidRPr="00BD4BE3">
        <w:rPr>
          <w:rFonts w:ascii="Arial" w:eastAsia="Times New Roman" w:hAnsi="Arial" w:cs="Arial"/>
          <w:b/>
          <w:bCs/>
          <w:color w:val="1A1C1E"/>
          <w:kern w:val="0"/>
          <w:sz w:val="21"/>
          <w:szCs w:val="21"/>
          <w14:ligatures w14:val="none"/>
        </w:rPr>
        <w:t>Hundi</w:t>
      </w:r>
      <w:r w:rsidRPr="00BD4BE3">
        <w:rPr>
          <w:rFonts w:ascii="Arial" w:eastAsia="Times New Roman" w:hAnsi="Arial" w:cs="Arial"/>
          <w:color w:val="1A1C1E"/>
          <w:kern w:val="0"/>
          <w:sz w:val="21"/>
          <w:szCs w:val="21"/>
          <w14:ligatures w14:val="none"/>
        </w:rPr>
        <w:t> operation. They require that 100% of the foreign currency sent by a migrant physically enters the domestic banking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3"/>
        <w:gridCol w:w="1897"/>
        <w:gridCol w:w="5830"/>
      </w:tblGrid>
      <w:tr w:rsidR="00BD4BE3" w:rsidRPr="00BD4BE3" w14:paraId="141B843E"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7D5CA13D" w14:textId="77777777" w:rsidR="00BD4BE3" w:rsidRPr="00BD4BE3" w:rsidRDefault="00BD4BE3" w:rsidP="00BD4BE3">
            <w:pPr>
              <w:spacing w:after="0" w:line="300" w:lineRule="atLeast"/>
              <w:rPr>
                <w:rFonts w:ascii="Arial" w:eastAsia="Times New Roman" w:hAnsi="Arial" w:cs="Arial"/>
                <w:b/>
                <w:bCs/>
                <w:kern w:val="0"/>
                <w:sz w:val="21"/>
                <w:szCs w:val="21"/>
                <w14:ligatures w14:val="none"/>
              </w:rPr>
            </w:pPr>
            <w:r w:rsidRPr="00BD4BE3">
              <w:rPr>
                <w:rFonts w:ascii="Arial" w:eastAsia="Times New Roman" w:hAnsi="Arial" w:cs="Arial"/>
                <w:b/>
                <w:bCs/>
                <w:kern w:val="0"/>
                <w:sz w:val="21"/>
                <w:szCs w:val="21"/>
                <w14:ligatures w14:val="none"/>
              </w:rPr>
              <w:t>Country</w:t>
            </w:r>
          </w:p>
        </w:tc>
        <w:tc>
          <w:tcPr>
            <w:tcW w:w="0" w:type="auto"/>
            <w:tcBorders>
              <w:top w:val="nil"/>
              <w:right w:val="nil"/>
            </w:tcBorders>
            <w:tcMar>
              <w:top w:w="90" w:type="dxa"/>
              <w:left w:w="180" w:type="dxa"/>
              <w:bottom w:w="90" w:type="dxa"/>
              <w:right w:w="180" w:type="dxa"/>
            </w:tcMar>
            <w:vAlign w:val="center"/>
            <w:hideMark/>
          </w:tcPr>
          <w:p w14:paraId="65A2AC00" w14:textId="77777777" w:rsidR="00BD4BE3" w:rsidRPr="00BD4BE3" w:rsidRDefault="00BD4BE3" w:rsidP="00BD4BE3">
            <w:pPr>
              <w:spacing w:after="0" w:line="300" w:lineRule="atLeast"/>
              <w:rPr>
                <w:rFonts w:ascii="Arial" w:eastAsia="Times New Roman" w:hAnsi="Arial" w:cs="Arial"/>
                <w:b/>
                <w:bCs/>
                <w:kern w:val="0"/>
                <w:sz w:val="21"/>
                <w:szCs w:val="21"/>
                <w14:ligatures w14:val="none"/>
              </w:rPr>
            </w:pPr>
            <w:r w:rsidRPr="00BD4BE3">
              <w:rPr>
                <w:rFonts w:ascii="Arial" w:eastAsia="Times New Roman" w:hAnsi="Arial" w:cs="Arial"/>
                <w:b/>
                <w:bCs/>
                <w:kern w:val="0"/>
                <w:sz w:val="21"/>
                <w:szCs w:val="21"/>
                <w14:ligatures w14:val="none"/>
              </w:rPr>
              <w:t>Settlement Policy</w:t>
            </w:r>
          </w:p>
        </w:tc>
        <w:tc>
          <w:tcPr>
            <w:tcW w:w="0" w:type="auto"/>
            <w:tcBorders>
              <w:top w:val="nil"/>
              <w:right w:val="nil"/>
            </w:tcBorders>
            <w:tcMar>
              <w:top w:w="90" w:type="dxa"/>
              <w:left w:w="180" w:type="dxa"/>
              <w:bottom w:w="90" w:type="dxa"/>
              <w:right w:w="180" w:type="dxa"/>
            </w:tcMar>
            <w:vAlign w:val="center"/>
            <w:hideMark/>
          </w:tcPr>
          <w:p w14:paraId="2CAD6C2B" w14:textId="77777777" w:rsidR="00BD4BE3" w:rsidRPr="00BD4BE3" w:rsidRDefault="00BD4BE3" w:rsidP="00BD4BE3">
            <w:pPr>
              <w:spacing w:after="0" w:line="300" w:lineRule="atLeast"/>
              <w:rPr>
                <w:rFonts w:ascii="Arial" w:eastAsia="Times New Roman" w:hAnsi="Arial" w:cs="Arial"/>
                <w:b/>
                <w:bCs/>
                <w:kern w:val="0"/>
                <w:sz w:val="21"/>
                <w:szCs w:val="21"/>
                <w14:ligatures w14:val="none"/>
              </w:rPr>
            </w:pPr>
            <w:r w:rsidRPr="00BD4BE3">
              <w:rPr>
                <w:rFonts w:ascii="Arial" w:eastAsia="Times New Roman" w:hAnsi="Arial" w:cs="Arial"/>
                <w:b/>
                <w:bCs/>
                <w:kern w:val="0"/>
                <w:sz w:val="21"/>
                <w:szCs w:val="21"/>
                <w14:ligatures w14:val="none"/>
              </w:rPr>
              <w:t>Regulatory Driver</w:t>
            </w:r>
          </w:p>
        </w:tc>
      </w:tr>
      <w:tr w:rsidR="00BD4BE3" w:rsidRPr="00BD4BE3" w14:paraId="3B0FF2E9" w14:textId="77777777">
        <w:trPr>
          <w:tblCellSpacing w:w="15" w:type="dxa"/>
        </w:trPr>
        <w:tc>
          <w:tcPr>
            <w:tcW w:w="0" w:type="auto"/>
            <w:tcBorders>
              <w:right w:val="nil"/>
            </w:tcBorders>
            <w:tcMar>
              <w:top w:w="90" w:type="dxa"/>
              <w:left w:w="180" w:type="dxa"/>
              <w:bottom w:w="90" w:type="dxa"/>
              <w:right w:w="180" w:type="dxa"/>
            </w:tcMar>
            <w:vAlign w:val="center"/>
            <w:hideMark/>
          </w:tcPr>
          <w:p w14:paraId="7EACF119"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India</w:t>
            </w:r>
          </w:p>
        </w:tc>
        <w:tc>
          <w:tcPr>
            <w:tcW w:w="0" w:type="auto"/>
            <w:tcBorders>
              <w:right w:val="nil"/>
            </w:tcBorders>
            <w:tcMar>
              <w:top w:w="90" w:type="dxa"/>
              <w:left w:w="180" w:type="dxa"/>
              <w:bottom w:w="90" w:type="dxa"/>
              <w:right w:w="180" w:type="dxa"/>
            </w:tcMar>
            <w:vAlign w:val="center"/>
            <w:hideMark/>
          </w:tcPr>
          <w:p w14:paraId="4BAA3D39"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5CFB9856"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RBI MTSS/RDA rules strictly prohibit offsetting liabilities.</w:t>
            </w:r>
          </w:p>
        </w:tc>
      </w:tr>
      <w:tr w:rsidR="00BD4BE3" w:rsidRPr="00BD4BE3" w14:paraId="28DE7225" w14:textId="77777777">
        <w:trPr>
          <w:tblCellSpacing w:w="15" w:type="dxa"/>
        </w:trPr>
        <w:tc>
          <w:tcPr>
            <w:tcW w:w="0" w:type="auto"/>
            <w:tcBorders>
              <w:right w:val="nil"/>
            </w:tcBorders>
            <w:tcMar>
              <w:top w:w="90" w:type="dxa"/>
              <w:left w:w="180" w:type="dxa"/>
              <w:bottom w:w="90" w:type="dxa"/>
              <w:right w:w="180" w:type="dxa"/>
            </w:tcMar>
            <w:vAlign w:val="center"/>
            <w:hideMark/>
          </w:tcPr>
          <w:p w14:paraId="6DE69C0C"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Pakistan</w:t>
            </w:r>
          </w:p>
        </w:tc>
        <w:tc>
          <w:tcPr>
            <w:tcW w:w="0" w:type="auto"/>
            <w:tcBorders>
              <w:right w:val="nil"/>
            </w:tcBorders>
            <w:tcMar>
              <w:top w:w="90" w:type="dxa"/>
              <w:left w:w="180" w:type="dxa"/>
              <w:bottom w:w="90" w:type="dxa"/>
              <w:right w:w="180" w:type="dxa"/>
            </w:tcMar>
            <w:vAlign w:val="center"/>
            <w:hideMark/>
          </w:tcPr>
          <w:p w14:paraId="42FD7C88"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119F5722"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PRI (Pakistan Remittance Initiative) mandates gross inflow for transparency.</w:t>
            </w:r>
          </w:p>
        </w:tc>
      </w:tr>
      <w:tr w:rsidR="00BD4BE3" w:rsidRPr="00BD4BE3" w14:paraId="06A49680" w14:textId="77777777">
        <w:trPr>
          <w:tblCellSpacing w:w="15" w:type="dxa"/>
        </w:trPr>
        <w:tc>
          <w:tcPr>
            <w:tcW w:w="0" w:type="auto"/>
            <w:tcBorders>
              <w:right w:val="nil"/>
            </w:tcBorders>
            <w:tcMar>
              <w:top w:w="90" w:type="dxa"/>
              <w:left w:w="180" w:type="dxa"/>
              <w:bottom w:w="90" w:type="dxa"/>
              <w:right w:w="180" w:type="dxa"/>
            </w:tcMar>
            <w:vAlign w:val="center"/>
            <w:hideMark/>
          </w:tcPr>
          <w:p w14:paraId="78CDB128"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Bangladesh</w:t>
            </w:r>
          </w:p>
        </w:tc>
        <w:tc>
          <w:tcPr>
            <w:tcW w:w="0" w:type="auto"/>
            <w:tcBorders>
              <w:right w:val="nil"/>
            </w:tcBorders>
            <w:tcMar>
              <w:top w:w="90" w:type="dxa"/>
              <w:left w:w="180" w:type="dxa"/>
              <w:bottom w:w="90" w:type="dxa"/>
              <w:right w:w="180" w:type="dxa"/>
            </w:tcMar>
            <w:vAlign w:val="center"/>
            <w:hideMark/>
          </w:tcPr>
          <w:p w14:paraId="061242D2"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059A2C5D"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Mandatory gross inflow to verify eligibility for the 2.5% cash incentive.</w:t>
            </w:r>
          </w:p>
        </w:tc>
      </w:tr>
      <w:tr w:rsidR="00BD4BE3" w:rsidRPr="00BD4BE3" w14:paraId="132BDB3A" w14:textId="77777777">
        <w:trPr>
          <w:tblCellSpacing w:w="15" w:type="dxa"/>
        </w:trPr>
        <w:tc>
          <w:tcPr>
            <w:tcW w:w="0" w:type="auto"/>
            <w:tcBorders>
              <w:right w:val="nil"/>
            </w:tcBorders>
            <w:tcMar>
              <w:top w:w="90" w:type="dxa"/>
              <w:left w:w="180" w:type="dxa"/>
              <w:bottom w:w="90" w:type="dxa"/>
              <w:right w:w="180" w:type="dxa"/>
            </w:tcMar>
            <w:vAlign w:val="center"/>
            <w:hideMark/>
          </w:tcPr>
          <w:p w14:paraId="732E4E24"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Nigeria</w:t>
            </w:r>
          </w:p>
        </w:tc>
        <w:tc>
          <w:tcPr>
            <w:tcW w:w="0" w:type="auto"/>
            <w:tcBorders>
              <w:right w:val="nil"/>
            </w:tcBorders>
            <w:tcMar>
              <w:top w:w="90" w:type="dxa"/>
              <w:left w:w="180" w:type="dxa"/>
              <w:bottom w:w="90" w:type="dxa"/>
              <w:right w:w="180" w:type="dxa"/>
            </w:tcMar>
            <w:vAlign w:val="center"/>
            <w:hideMark/>
          </w:tcPr>
          <w:p w14:paraId="5278AA45"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r w:rsidRPr="00BD4BE3">
              <w:rPr>
                <w:rFonts w:ascii="Arial" w:eastAsia="Times New Roman" w:hAnsi="Arial" w:cs="Arial"/>
                <w:kern w:val="0"/>
                <w:sz w:val="21"/>
                <w:szCs w:val="21"/>
                <w14:ligatures w14:val="none"/>
              </w:rPr>
              <w:t>*</w:t>
            </w:r>
          </w:p>
        </w:tc>
        <w:tc>
          <w:tcPr>
            <w:tcW w:w="0" w:type="auto"/>
            <w:tcBorders>
              <w:right w:val="nil"/>
            </w:tcBorders>
            <w:tcMar>
              <w:top w:w="90" w:type="dxa"/>
              <w:left w:w="180" w:type="dxa"/>
              <w:bottom w:w="90" w:type="dxa"/>
              <w:right w:w="180" w:type="dxa"/>
            </w:tcMar>
            <w:vAlign w:val="center"/>
            <w:hideMark/>
          </w:tcPr>
          <w:p w14:paraId="7A29082F"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CBN mandates IMTOs settle in gross to boost FX reserves (*exception for PAPSS).</w:t>
            </w:r>
          </w:p>
        </w:tc>
      </w:tr>
      <w:tr w:rsidR="00BD4BE3" w:rsidRPr="00BD4BE3" w14:paraId="61620FB2" w14:textId="77777777">
        <w:trPr>
          <w:tblCellSpacing w:w="15" w:type="dxa"/>
        </w:trPr>
        <w:tc>
          <w:tcPr>
            <w:tcW w:w="0" w:type="auto"/>
            <w:tcBorders>
              <w:right w:val="nil"/>
            </w:tcBorders>
            <w:tcMar>
              <w:top w:w="90" w:type="dxa"/>
              <w:left w:w="180" w:type="dxa"/>
              <w:bottom w:w="90" w:type="dxa"/>
              <w:right w:w="180" w:type="dxa"/>
            </w:tcMar>
            <w:vAlign w:val="center"/>
            <w:hideMark/>
          </w:tcPr>
          <w:p w14:paraId="14860622"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Ethiopia</w:t>
            </w:r>
          </w:p>
        </w:tc>
        <w:tc>
          <w:tcPr>
            <w:tcW w:w="0" w:type="auto"/>
            <w:tcBorders>
              <w:right w:val="nil"/>
            </w:tcBorders>
            <w:tcMar>
              <w:top w:w="90" w:type="dxa"/>
              <w:left w:w="180" w:type="dxa"/>
              <w:bottom w:w="90" w:type="dxa"/>
              <w:right w:w="180" w:type="dxa"/>
            </w:tcMar>
            <w:vAlign w:val="center"/>
            <w:hideMark/>
          </w:tcPr>
          <w:p w14:paraId="74A5F375"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1D79B6AF"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Strict capital controls to manage acute hard-currency shortages.</w:t>
            </w:r>
          </w:p>
        </w:tc>
      </w:tr>
      <w:tr w:rsidR="00BD4BE3" w:rsidRPr="00BD4BE3" w14:paraId="4EE5B830" w14:textId="77777777">
        <w:trPr>
          <w:tblCellSpacing w:w="15" w:type="dxa"/>
        </w:trPr>
        <w:tc>
          <w:tcPr>
            <w:tcW w:w="0" w:type="auto"/>
            <w:tcBorders>
              <w:right w:val="nil"/>
            </w:tcBorders>
            <w:tcMar>
              <w:top w:w="90" w:type="dxa"/>
              <w:left w:w="180" w:type="dxa"/>
              <w:bottom w:w="90" w:type="dxa"/>
              <w:right w:w="180" w:type="dxa"/>
            </w:tcMar>
            <w:vAlign w:val="center"/>
            <w:hideMark/>
          </w:tcPr>
          <w:p w14:paraId="0A00FB61"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Argentina</w:t>
            </w:r>
          </w:p>
        </w:tc>
        <w:tc>
          <w:tcPr>
            <w:tcW w:w="0" w:type="auto"/>
            <w:tcBorders>
              <w:right w:val="nil"/>
            </w:tcBorders>
            <w:tcMar>
              <w:top w:w="90" w:type="dxa"/>
              <w:left w:w="180" w:type="dxa"/>
              <w:bottom w:w="90" w:type="dxa"/>
              <w:right w:w="180" w:type="dxa"/>
            </w:tcMar>
            <w:vAlign w:val="center"/>
            <w:hideMark/>
          </w:tcPr>
          <w:p w14:paraId="62B8784D"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59EC076D"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MULC regulations require total liquidation of foreign funds within 5 days.</w:t>
            </w:r>
          </w:p>
        </w:tc>
      </w:tr>
      <w:tr w:rsidR="00BD4BE3" w:rsidRPr="00BD4BE3" w14:paraId="370B5711" w14:textId="77777777">
        <w:trPr>
          <w:tblCellSpacing w:w="15" w:type="dxa"/>
        </w:trPr>
        <w:tc>
          <w:tcPr>
            <w:tcW w:w="0" w:type="auto"/>
            <w:tcBorders>
              <w:right w:val="nil"/>
            </w:tcBorders>
            <w:tcMar>
              <w:top w:w="90" w:type="dxa"/>
              <w:left w:w="180" w:type="dxa"/>
              <w:bottom w:w="90" w:type="dxa"/>
              <w:right w:w="180" w:type="dxa"/>
            </w:tcMar>
            <w:vAlign w:val="center"/>
            <w:hideMark/>
          </w:tcPr>
          <w:p w14:paraId="5DD7F03D"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South Africa</w:t>
            </w:r>
          </w:p>
        </w:tc>
        <w:tc>
          <w:tcPr>
            <w:tcW w:w="0" w:type="auto"/>
            <w:tcBorders>
              <w:right w:val="nil"/>
            </w:tcBorders>
            <w:tcMar>
              <w:top w:w="90" w:type="dxa"/>
              <w:left w:w="180" w:type="dxa"/>
              <w:bottom w:w="90" w:type="dxa"/>
              <w:right w:w="180" w:type="dxa"/>
            </w:tcMar>
            <w:vAlign w:val="center"/>
            <w:hideMark/>
          </w:tcPr>
          <w:p w14:paraId="40283617"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b/>
                <w:bCs/>
                <w:kern w:val="0"/>
                <w:sz w:val="21"/>
                <w:szCs w:val="21"/>
                <w14:ligatures w14:val="none"/>
              </w:rPr>
              <w:t>Gross Only</w:t>
            </w:r>
          </w:p>
        </w:tc>
        <w:tc>
          <w:tcPr>
            <w:tcW w:w="0" w:type="auto"/>
            <w:tcBorders>
              <w:right w:val="nil"/>
            </w:tcBorders>
            <w:tcMar>
              <w:top w:w="90" w:type="dxa"/>
              <w:left w:w="180" w:type="dxa"/>
              <w:bottom w:w="90" w:type="dxa"/>
              <w:right w:w="180" w:type="dxa"/>
            </w:tcMar>
            <w:vAlign w:val="center"/>
            <w:hideMark/>
          </w:tcPr>
          <w:p w14:paraId="61AFF9B4" w14:textId="77777777" w:rsidR="00BD4BE3" w:rsidRPr="00BD4BE3" w:rsidRDefault="00BD4BE3" w:rsidP="00BD4BE3">
            <w:pPr>
              <w:spacing w:after="0" w:line="300" w:lineRule="atLeast"/>
              <w:rPr>
                <w:rFonts w:ascii="Arial" w:eastAsia="Times New Roman" w:hAnsi="Arial" w:cs="Arial"/>
                <w:kern w:val="0"/>
                <w:sz w:val="21"/>
                <w:szCs w:val="21"/>
                <w14:ligatures w14:val="none"/>
              </w:rPr>
            </w:pPr>
            <w:r w:rsidRPr="00BD4BE3">
              <w:rPr>
                <w:rFonts w:ascii="Arial" w:eastAsia="Times New Roman" w:hAnsi="Arial" w:cs="Arial"/>
                <w:kern w:val="0"/>
                <w:sz w:val="21"/>
                <w:szCs w:val="21"/>
                <w14:ligatures w14:val="none"/>
              </w:rPr>
              <w:t>SARB Exchange Control rules require prior approval for any offsetting.</w:t>
            </w:r>
          </w:p>
        </w:tc>
      </w:tr>
    </w:tbl>
    <w:p w14:paraId="4917F780" w14:textId="77777777" w:rsidR="00BD4BE3" w:rsidRPr="00BD4BE3" w:rsidRDefault="00BD4BE3" w:rsidP="00BD4BE3">
      <w:pPr>
        <w:spacing w:before="240" w:after="240" w:line="240" w:lineRule="auto"/>
        <w:rPr>
          <w:rFonts w:ascii="Arial" w:eastAsia="Times New Roman" w:hAnsi="Arial" w:cs="Arial"/>
          <w:kern w:val="0"/>
          <w:sz w:val="21"/>
          <w:szCs w:val="21"/>
          <w14:ligatures w14:val="none"/>
        </w:rPr>
      </w:pPr>
      <w:r w:rsidRPr="00BD4BE3">
        <w:rPr>
          <w:rFonts w:ascii="Times New Roman" w:eastAsia="Times New Roman" w:hAnsi="Times New Roman" w:cs="Times New Roman"/>
          <w:kern w:val="0"/>
          <w14:ligatures w14:val="none"/>
        </w:rPr>
        <w:pict w14:anchorId="52E3AA8D">
          <v:rect id="_x0000_i1027" style="width:712.8pt;height:1.5pt" o:hrpct="0" o:hralign="center" o:hrstd="t" o:hr="t" fillcolor="#a0a0a0" stroked="f"/>
        </w:pict>
      </w:r>
    </w:p>
    <w:p w14:paraId="377EB88D" w14:textId="77777777" w:rsidR="00BD4BE3" w:rsidRPr="00BD4BE3" w:rsidRDefault="00BD4BE3" w:rsidP="00BD4BE3">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BD4BE3">
        <w:rPr>
          <w:rFonts w:ascii="Arial" w:eastAsia="Times New Roman" w:hAnsi="Arial" w:cs="Arial"/>
          <w:b/>
          <w:bCs/>
          <w:color w:val="1A1C1E"/>
          <w:kern w:val="0"/>
          <w:sz w:val="27"/>
          <w:szCs w:val="27"/>
          <w14:ligatures w14:val="none"/>
        </w:rPr>
        <w:t>Summary of Regulatory Trends (2026)</w:t>
      </w:r>
    </w:p>
    <w:p w14:paraId="137AC4E7" w14:textId="77777777" w:rsidR="00BD4BE3" w:rsidRPr="00BD4BE3" w:rsidRDefault="00BD4BE3" w:rsidP="00BD4BE3">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Shift to Local Currencies:</w:t>
      </w:r>
      <w:r w:rsidRPr="00BD4BE3">
        <w:rPr>
          <w:rFonts w:ascii="Arial" w:eastAsia="Times New Roman" w:hAnsi="Arial" w:cs="Arial"/>
          <w:color w:val="1A1C1E"/>
          <w:kern w:val="0"/>
          <w:sz w:val="21"/>
          <w:szCs w:val="21"/>
          <w14:ligatures w14:val="none"/>
        </w:rPr>
        <w:t> To avoid "Dollar Scarcity," many LMICs are moving away from gross USD settlement and toward </w:t>
      </w:r>
      <w:r w:rsidRPr="00BD4BE3">
        <w:rPr>
          <w:rFonts w:ascii="Arial" w:eastAsia="Times New Roman" w:hAnsi="Arial" w:cs="Arial"/>
          <w:b/>
          <w:bCs/>
          <w:color w:val="1A1C1E"/>
          <w:kern w:val="0"/>
          <w:sz w:val="21"/>
          <w:szCs w:val="21"/>
          <w14:ligatures w14:val="none"/>
        </w:rPr>
        <w:t>Net Local Currency Settlement</w:t>
      </w:r>
      <w:r w:rsidRPr="00BD4BE3">
        <w:rPr>
          <w:rFonts w:ascii="Arial" w:eastAsia="Times New Roman" w:hAnsi="Arial" w:cs="Arial"/>
          <w:color w:val="1A1C1E"/>
          <w:kern w:val="0"/>
          <w:sz w:val="21"/>
          <w:szCs w:val="21"/>
          <w14:ligatures w14:val="none"/>
        </w:rPr>
        <w:t>.</w:t>
      </w:r>
    </w:p>
    <w:p w14:paraId="67E096ED" w14:textId="77777777" w:rsidR="00BD4BE3" w:rsidRPr="00BD4BE3" w:rsidRDefault="00BD4BE3" w:rsidP="00BD4BE3">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t>The "PAPSS Exception":</w:t>
      </w:r>
      <w:r w:rsidRPr="00BD4BE3">
        <w:rPr>
          <w:rFonts w:ascii="Arial" w:eastAsia="Times New Roman" w:hAnsi="Arial" w:cs="Arial"/>
          <w:color w:val="1A1C1E"/>
          <w:kern w:val="0"/>
          <w:sz w:val="21"/>
          <w:szCs w:val="21"/>
          <w14:ligatures w14:val="none"/>
        </w:rPr>
        <w:t> Many countries that traditionally prohibit netting for general MTOs (like Nigeria or Egypt) are allowing it </w:t>
      </w:r>
      <w:r w:rsidRPr="00BD4BE3">
        <w:rPr>
          <w:rFonts w:ascii="Arial" w:eastAsia="Times New Roman" w:hAnsi="Arial" w:cs="Arial"/>
          <w:b/>
          <w:bCs/>
          <w:color w:val="1A1C1E"/>
          <w:kern w:val="0"/>
          <w:sz w:val="21"/>
          <w:szCs w:val="21"/>
          <w14:ligatures w14:val="none"/>
        </w:rPr>
        <w:t>only</w:t>
      </w:r>
      <w:r w:rsidRPr="00BD4BE3">
        <w:rPr>
          <w:rFonts w:ascii="Arial" w:eastAsia="Times New Roman" w:hAnsi="Arial" w:cs="Arial"/>
          <w:color w:val="1A1C1E"/>
          <w:kern w:val="0"/>
          <w:sz w:val="21"/>
          <w:szCs w:val="21"/>
          <w14:ligatures w14:val="none"/>
        </w:rPr>
        <w:t> within the PAPSS regional framework to foster intra-continental trade.</w:t>
      </w:r>
    </w:p>
    <w:p w14:paraId="2E0AE71A" w14:textId="77777777" w:rsidR="00BD4BE3" w:rsidRPr="00BD4BE3" w:rsidRDefault="00BD4BE3" w:rsidP="00BD4BE3">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BD4BE3">
        <w:rPr>
          <w:rFonts w:ascii="Arial" w:eastAsia="Times New Roman" w:hAnsi="Arial" w:cs="Arial"/>
          <w:b/>
          <w:bCs/>
          <w:color w:val="1A1C1E"/>
          <w:kern w:val="0"/>
          <w:sz w:val="21"/>
          <w:szCs w:val="21"/>
          <w14:ligatures w14:val="none"/>
        </w:rPr>
        <w:lastRenderedPageBreak/>
        <w:t>Substance Requirements:</w:t>
      </w:r>
      <w:r w:rsidRPr="00BD4BE3">
        <w:rPr>
          <w:rFonts w:ascii="Arial" w:eastAsia="Times New Roman" w:hAnsi="Arial" w:cs="Arial"/>
          <w:color w:val="1A1C1E"/>
          <w:kern w:val="0"/>
          <w:sz w:val="21"/>
          <w:szCs w:val="21"/>
          <w14:ligatures w14:val="none"/>
        </w:rPr>
        <w:t> In almost all jurisdictions that allow netting (like Malaysia or Brazil), the MTO must have </w:t>
      </w:r>
      <w:r w:rsidRPr="00BD4BE3">
        <w:rPr>
          <w:rFonts w:ascii="Arial" w:eastAsia="Times New Roman" w:hAnsi="Arial" w:cs="Arial"/>
          <w:b/>
          <w:bCs/>
          <w:color w:val="1A1C1E"/>
          <w:kern w:val="0"/>
          <w:sz w:val="21"/>
          <w:szCs w:val="21"/>
          <w14:ligatures w14:val="none"/>
        </w:rPr>
        <w:t>"Mind and Management"</w:t>
      </w:r>
      <w:r w:rsidRPr="00BD4BE3">
        <w:rPr>
          <w:rFonts w:ascii="Arial" w:eastAsia="Times New Roman" w:hAnsi="Arial" w:cs="Arial"/>
          <w:color w:val="1A1C1E"/>
          <w:kern w:val="0"/>
          <w:sz w:val="21"/>
          <w:szCs w:val="21"/>
          <w14:ligatures w14:val="none"/>
        </w:rPr>
        <w:t> (a local license and physical presence) to qualify for these efficient settlement models.</w:t>
      </w:r>
    </w:p>
    <w:p w14:paraId="7A7B7B32" w14:textId="77777777" w:rsidR="00A03483" w:rsidRPr="00BD4BE3" w:rsidRDefault="00A03483">
      <w:pPr>
        <w:rPr>
          <w:b/>
          <w:bCs/>
        </w:rPr>
      </w:pPr>
    </w:p>
    <w:sectPr w:rsidR="00A03483" w:rsidRPr="00BD4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739E"/>
    <w:multiLevelType w:val="multilevel"/>
    <w:tmpl w:val="74C8A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AF113C"/>
    <w:multiLevelType w:val="multilevel"/>
    <w:tmpl w:val="1AEE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BB2EEC"/>
    <w:multiLevelType w:val="multilevel"/>
    <w:tmpl w:val="8828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087580">
    <w:abstractNumId w:val="1"/>
  </w:num>
  <w:num w:numId="2" w16cid:durableId="1361198186">
    <w:abstractNumId w:val="0"/>
  </w:num>
  <w:num w:numId="3" w16cid:durableId="433940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E3"/>
    <w:rsid w:val="000A2A47"/>
    <w:rsid w:val="005020E7"/>
    <w:rsid w:val="0098613E"/>
    <w:rsid w:val="00A03483"/>
    <w:rsid w:val="00BD4BE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A150"/>
  <w15:chartTrackingRefBased/>
  <w15:docId w15:val="{75166C35-F27A-447F-90F9-6D28D531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B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B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4B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B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B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B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B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B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B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B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4B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B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B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B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B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B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BE3"/>
    <w:rPr>
      <w:rFonts w:eastAsiaTheme="majorEastAsia" w:cstheme="majorBidi"/>
      <w:color w:val="272727" w:themeColor="text1" w:themeTint="D8"/>
    </w:rPr>
  </w:style>
  <w:style w:type="paragraph" w:styleId="Title">
    <w:name w:val="Title"/>
    <w:basedOn w:val="Normal"/>
    <w:next w:val="Normal"/>
    <w:link w:val="TitleChar"/>
    <w:uiPriority w:val="10"/>
    <w:qFormat/>
    <w:rsid w:val="00BD4B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B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B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B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BE3"/>
    <w:pPr>
      <w:spacing w:before="160"/>
      <w:jc w:val="center"/>
    </w:pPr>
    <w:rPr>
      <w:i/>
      <w:iCs/>
      <w:color w:val="404040" w:themeColor="text1" w:themeTint="BF"/>
    </w:rPr>
  </w:style>
  <w:style w:type="character" w:customStyle="1" w:styleId="QuoteChar">
    <w:name w:val="Quote Char"/>
    <w:basedOn w:val="DefaultParagraphFont"/>
    <w:link w:val="Quote"/>
    <w:uiPriority w:val="29"/>
    <w:rsid w:val="00BD4BE3"/>
    <w:rPr>
      <w:i/>
      <w:iCs/>
      <w:color w:val="404040" w:themeColor="text1" w:themeTint="BF"/>
    </w:rPr>
  </w:style>
  <w:style w:type="paragraph" w:styleId="ListParagraph">
    <w:name w:val="List Paragraph"/>
    <w:basedOn w:val="Normal"/>
    <w:uiPriority w:val="34"/>
    <w:qFormat/>
    <w:rsid w:val="00BD4BE3"/>
    <w:pPr>
      <w:ind w:left="720"/>
      <w:contextualSpacing/>
    </w:pPr>
  </w:style>
  <w:style w:type="character" w:styleId="IntenseEmphasis">
    <w:name w:val="Intense Emphasis"/>
    <w:basedOn w:val="DefaultParagraphFont"/>
    <w:uiPriority w:val="21"/>
    <w:qFormat/>
    <w:rsid w:val="00BD4BE3"/>
    <w:rPr>
      <w:i/>
      <w:iCs/>
      <w:color w:val="0F4761" w:themeColor="accent1" w:themeShade="BF"/>
    </w:rPr>
  </w:style>
  <w:style w:type="paragraph" w:styleId="IntenseQuote">
    <w:name w:val="Intense Quote"/>
    <w:basedOn w:val="Normal"/>
    <w:next w:val="Normal"/>
    <w:link w:val="IntenseQuoteChar"/>
    <w:uiPriority w:val="30"/>
    <w:qFormat/>
    <w:rsid w:val="00BD4B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BE3"/>
    <w:rPr>
      <w:i/>
      <w:iCs/>
      <w:color w:val="0F4761" w:themeColor="accent1" w:themeShade="BF"/>
    </w:rPr>
  </w:style>
  <w:style w:type="character" w:styleId="IntenseReference">
    <w:name w:val="Intense Reference"/>
    <w:basedOn w:val="DefaultParagraphFont"/>
    <w:uiPriority w:val="32"/>
    <w:qFormat/>
    <w:rsid w:val="00BD4BE3"/>
    <w:rPr>
      <w:b/>
      <w:bCs/>
      <w:smallCaps/>
      <w:color w:val="0F4761" w:themeColor="accent1" w:themeShade="BF"/>
      <w:spacing w:val="5"/>
    </w:rPr>
  </w:style>
  <w:style w:type="paragraph" w:customStyle="1" w:styleId="ng-star-inserted">
    <w:name w:val="ng-star-inserted"/>
    <w:basedOn w:val="Normal"/>
    <w:rsid w:val="00BD4BE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BD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614</Words>
  <Characters>3767</Characters>
  <Application>Microsoft Office Word</Application>
  <DocSecurity>0</DocSecurity>
  <Lines>87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2026-01-26T01:54:00Z</dcterms:created>
  <dcterms:modified xsi:type="dcterms:W3CDTF">2026-01-26T01:56:00Z</dcterms:modified>
</cp:coreProperties>
</file>