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09D2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This data is based on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full-year 2024 historical figures and preliminary 2025 estimates (Q1/Q2)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. Data is synthesized from the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Bank’s Remittance Prices Worldwide (RPW)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KNOMAD (World Bank Group)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Central Bank reports (MAS, HKMA, BNM, BoJ)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FXC Intelligence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3CF89854" w14:textId="77777777" w:rsid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Asia is home to some of the most advanced digital remittance corridors in the world, particularly in Singapore, Hong Kong, and South Korea, where "super-apps" have largely replaced traditional bank wires.</w:t>
      </w:r>
    </w:p>
    <w:p w14:paraId="6104142A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27F89C98" w14:textId="77777777" w:rsidR="004E61D7" w:rsidRPr="004E61D7" w:rsidRDefault="004E61D7" w:rsidP="004E61D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Singapore Outbound Remittance Market</w:t>
      </w:r>
    </w:p>
    <w:p w14:paraId="079C310A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Singapore is a primary hub for South and Southeast Asian labor. It </w:t>
      </w:r>
      <w:proofErr w:type="gramStart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features</w:t>
      </w:r>
      <w:proofErr w:type="gramEnd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 lowest costs in the region due to high competition among fintech aggregators.</w:t>
      </w:r>
    </w:p>
    <w:p w14:paraId="0E11FA7E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Singapore Outbound Volume (Est. 2024):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~$7.2 Billion USD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3477"/>
        <w:gridCol w:w="2263"/>
        <w:gridCol w:w="1736"/>
      </w:tblGrid>
      <w:tr w:rsidR="004E61D7" w:rsidRPr="004E61D7" w14:paraId="152FE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36D8B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 Country</w:t>
            </w:r>
          </w:p>
        </w:tc>
        <w:tc>
          <w:tcPr>
            <w:tcW w:w="0" w:type="auto"/>
            <w:vAlign w:val="center"/>
            <w:hideMark/>
          </w:tcPr>
          <w:p w14:paraId="7E4E490E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1C559CF1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1B7290F6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(%)*</w:t>
            </w:r>
          </w:p>
        </w:tc>
      </w:tr>
      <w:tr w:rsidR="004E61D7" w:rsidRPr="004E61D7" w14:paraId="4BC997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9E949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vAlign w:val="center"/>
            <w:hideMark/>
          </w:tcPr>
          <w:p w14:paraId="1F277AAD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InstaReem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Nium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), Singtel Dash</w:t>
            </w:r>
          </w:p>
        </w:tc>
        <w:tc>
          <w:tcPr>
            <w:tcW w:w="0" w:type="auto"/>
            <w:vAlign w:val="center"/>
            <w:hideMark/>
          </w:tcPr>
          <w:p w14:paraId="4899FA91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$1.8 Billion</w:t>
            </w:r>
          </w:p>
        </w:tc>
        <w:tc>
          <w:tcPr>
            <w:tcW w:w="0" w:type="auto"/>
            <w:vAlign w:val="center"/>
            <w:hideMark/>
          </w:tcPr>
          <w:p w14:paraId="562E5D99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1.8% – 2.4%</w:t>
            </w:r>
          </w:p>
        </w:tc>
      </w:tr>
      <w:tr w:rsidR="004E61D7" w:rsidRPr="004E61D7" w14:paraId="0594F8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34587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6B7F140C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Singtel Dash, Wise,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30FF8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$1.4 Billion</w:t>
            </w:r>
          </w:p>
        </w:tc>
        <w:tc>
          <w:tcPr>
            <w:tcW w:w="0" w:type="auto"/>
            <w:vAlign w:val="center"/>
            <w:hideMark/>
          </w:tcPr>
          <w:p w14:paraId="43C8B357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2.5% – 3.1%</w:t>
            </w:r>
          </w:p>
        </w:tc>
      </w:tr>
      <w:tr w:rsidR="004E61D7" w:rsidRPr="004E61D7" w14:paraId="342CA3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7F063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China</w:t>
            </w:r>
          </w:p>
        </w:tc>
        <w:tc>
          <w:tcPr>
            <w:tcW w:w="0" w:type="auto"/>
            <w:vAlign w:val="center"/>
            <w:hideMark/>
          </w:tcPr>
          <w:p w14:paraId="146DCB80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Hanshepay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Revolut</w:t>
            </w:r>
          </w:p>
        </w:tc>
        <w:tc>
          <w:tcPr>
            <w:tcW w:w="0" w:type="auto"/>
            <w:vAlign w:val="center"/>
            <w:hideMark/>
          </w:tcPr>
          <w:p w14:paraId="5324B68E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$1.1 Billion</w:t>
            </w:r>
          </w:p>
        </w:tc>
        <w:tc>
          <w:tcPr>
            <w:tcW w:w="0" w:type="auto"/>
            <w:vAlign w:val="center"/>
            <w:hideMark/>
          </w:tcPr>
          <w:p w14:paraId="427C433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2.9% – 3.5%</w:t>
            </w:r>
          </w:p>
        </w:tc>
      </w:tr>
      <w:tr w:rsidR="004E61D7" w:rsidRPr="004E61D7" w14:paraId="724111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FEAE2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Indonesia</w:t>
            </w:r>
          </w:p>
        </w:tc>
        <w:tc>
          <w:tcPr>
            <w:tcW w:w="0" w:type="auto"/>
            <w:vAlign w:val="center"/>
            <w:hideMark/>
          </w:tcPr>
          <w:p w14:paraId="3F329B12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Singtel Dash,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GrabPay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(via partners), Wise</w:t>
            </w:r>
          </w:p>
        </w:tc>
        <w:tc>
          <w:tcPr>
            <w:tcW w:w="0" w:type="auto"/>
            <w:vAlign w:val="center"/>
            <w:hideMark/>
          </w:tcPr>
          <w:p w14:paraId="1373D982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$0.9 Billion</w:t>
            </w:r>
          </w:p>
        </w:tc>
        <w:tc>
          <w:tcPr>
            <w:tcW w:w="0" w:type="auto"/>
            <w:vAlign w:val="center"/>
            <w:hideMark/>
          </w:tcPr>
          <w:p w14:paraId="5E6C0D24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2.8% – 3.4%</w:t>
            </w:r>
          </w:p>
        </w:tc>
      </w:tr>
      <w:tr w:rsidR="004E61D7" w:rsidRPr="004E61D7" w14:paraId="1B6888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3776D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Malaysia</w:t>
            </w:r>
          </w:p>
        </w:tc>
        <w:tc>
          <w:tcPr>
            <w:tcW w:w="0" w:type="auto"/>
            <w:vAlign w:val="center"/>
            <w:hideMark/>
          </w:tcPr>
          <w:p w14:paraId="2E1967BE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BigPay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Wise, CIMB Clicks</w:t>
            </w:r>
          </w:p>
        </w:tc>
        <w:tc>
          <w:tcPr>
            <w:tcW w:w="0" w:type="auto"/>
            <w:vAlign w:val="center"/>
            <w:hideMark/>
          </w:tcPr>
          <w:p w14:paraId="1FADA104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$0.8 Billion</w:t>
            </w:r>
          </w:p>
        </w:tc>
        <w:tc>
          <w:tcPr>
            <w:tcW w:w="0" w:type="auto"/>
            <w:vAlign w:val="center"/>
            <w:hideMark/>
          </w:tcPr>
          <w:p w14:paraId="6306EAB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1.5% – 2.1%</w:t>
            </w:r>
          </w:p>
        </w:tc>
      </w:tr>
    </w:tbl>
    <w:p w14:paraId="1448FADB" w14:textId="6994DA7C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ECC560F" w14:textId="77777777" w:rsidR="004E61D7" w:rsidRPr="004E61D7" w:rsidRDefault="004E61D7" w:rsidP="004E61D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Hong Kong Outbound Remittance Market</w:t>
      </w:r>
    </w:p>
    <w:p w14:paraId="100E67A0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Hong Kong’s market is dominated by flows to Mainland China and corridors serving domestic workers from the Philippines and Indonesia.</w:t>
      </w:r>
    </w:p>
    <w:p w14:paraId="13AA275D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Hong Kong Outbound Volume (Est. 2024):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~$17.5 Billion USD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3339"/>
        <w:gridCol w:w="2324"/>
        <w:gridCol w:w="1785"/>
      </w:tblGrid>
      <w:tr w:rsidR="004E61D7" w:rsidRPr="004E61D7" w14:paraId="08B5C8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4E425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 Country</w:t>
            </w:r>
          </w:p>
        </w:tc>
        <w:tc>
          <w:tcPr>
            <w:tcW w:w="0" w:type="auto"/>
            <w:vAlign w:val="center"/>
            <w:hideMark/>
          </w:tcPr>
          <w:p w14:paraId="13A10C40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245FBE8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081E2D20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(%)*</w:t>
            </w:r>
          </w:p>
        </w:tc>
      </w:tr>
      <w:tr w:rsidR="004E61D7" w:rsidRPr="004E61D7" w14:paraId="58977D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76A26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Mainland China</w:t>
            </w:r>
          </w:p>
        </w:tc>
        <w:tc>
          <w:tcPr>
            <w:tcW w:w="0" w:type="auto"/>
            <w:vAlign w:val="center"/>
            <w:hideMark/>
          </w:tcPr>
          <w:p w14:paraId="230FF824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AlipayHK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WeChat Pay HK, Wise</w:t>
            </w:r>
          </w:p>
        </w:tc>
        <w:tc>
          <w:tcPr>
            <w:tcW w:w="0" w:type="auto"/>
            <w:vAlign w:val="center"/>
            <w:hideMark/>
          </w:tcPr>
          <w:p w14:paraId="36AF49BB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$12.4 Billion</w:t>
            </w:r>
          </w:p>
        </w:tc>
        <w:tc>
          <w:tcPr>
            <w:tcW w:w="0" w:type="auto"/>
            <w:vAlign w:val="center"/>
            <w:hideMark/>
          </w:tcPr>
          <w:p w14:paraId="7DAC5DCD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1.9% – 2.8%</w:t>
            </w:r>
          </w:p>
        </w:tc>
      </w:tr>
      <w:tr w:rsidR="004E61D7" w:rsidRPr="004E61D7" w14:paraId="767EC8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B6294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1DC1A07C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TNG Wallet,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GCash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(via partners), Wise</w:t>
            </w:r>
          </w:p>
        </w:tc>
        <w:tc>
          <w:tcPr>
            <w:tcW w:w="0" w:type="auto"/>
            <w:vAlign w:val="center"/>
            <w:hideMark/>
          </w:tcPr>
          <w:p w14:paraId="28366AEC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$2.1 Billion</w:t>
            </w:r>
          </w:p>
        </w:tc>
        <w:tc>
          <w:tcPr>
            <w:tcW w:w="0" w:type="auto"/>
            <w:vAlign w:val="center"/>
            <w:hideMark/>
          </w:tcPr>
          <w:p w14:paraId="4AB0AA36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2.4% – 3.2%</w:t>
            </w:r>
          </w:p>
        </w:tc>
      </w:tr>
      <w:tr w:rsidR="004E61D7" w:rsidRPr="004E61D7" w14:paraId="79E421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1FCB4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Indonesia</w:t>
            </w:r>
          </w:p>
        </w:tc>
        <w:tc>
          <w:tcPr>
            <w:tcW w:w="0" w:type="auto"/>
            <w:vAlign w:val="center"/>
            <w:hideMark/>
          </w:tcPr>
          <w:p w14:paraId="10A879E8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TNG Wallet, Wise,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597E24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$1.6 Billion</w:t>
            </w:r>
          </w:p>
        </w:tc>
        <w:tc>
          <w:tcPr>
            <w:tcW w:w="0" w:type="auto"/>
            <w:vAlign w:val="center"/>
            <w:hideMark/>
          </w:tcPr>
          <w:p w14:paraId="46490225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2.6% – 3.4%</w:t>
            </w:r>
          </w:p>
        </w:tc>
      </w:tr>
      <w:tr w:rsidR="004E61D7" w:rsidRPr="004E61D7" w14:paraId="650AAD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29A6E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Vietnam</w:t>
            </w:r>
          </w:p>
        </w:tc>
        <w:tc>
          <w:tcPr>
            <w:tcW w:w="0" w:type="auto"/>
            <w:vAlign w:val="center"/>
            <w:hideMark/>
          </w:tcPr>
          <w:p w14:paraId="591B54B0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Western Union Digital</w:t>
            </w:r>
          </w:p>
        </w:tc>
        <w:tc>
          <w:tcPr>
            <w:tcW w:w="0" w:type="auto"/>
            <w:vAlign w:val="center"/>
            <w:hideMark/>
          </w:tcPr>
          <w:p w14:paraId="088CBEE7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$0.4 Billion</w:t>
            </w:r>
          </w:p>
        </w:tc>
        <w:tc>
          <w:tcPr>
            <w:tcW w:w="0" w:type="auto"/>
            <w:vAlign w:val="center"/>
            <w:hideMark/>
          </w:tcPr>
          <w:p w14:paraId="1A846B07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3.8% – 4.5%</w:t>
            </w:r>
          </w:p>
        </w:tc>
      </w:tr>
    </w:tbl>
    <w:p w14:paraId="65AE1B87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pict w14:anchorId="43C6CAC4">
          <v:rect id="_x0000_i1026" style="width:0;height:1.5pt" o:hralign="center" o:hrstd="t" o:hr="t" fillcolor="#a0a0a0" stroked="f"/>
        </w:pict>
      </w:r>
    </w:p>
    <w:p w14:paraId="77A02BD9" w14:textId="77777777" w:rsidR="004E61D7" w:rsidRDefault="004E61D7" w:rsidP="004E61D7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</w:p>
    <w:p w14:paraId="7C0773E9" w14:textId="77777777" w:rsidR="004E61D7" w:rsidRDefault="004E61D7" w:rsidP="004E61D7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</w:p>
    <w:p w14:paraId="6362EDB2" w14:textId="56BF17F8" w:rsidR="004E61D7" w:rsidRPr="004E61D7" w:rsidRDefault="004E61D7" w:rsidP="004E61D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lastRenderedPageBreak/>
        <w:t>3. Malaysia Outbound Remittance Market</w:t>
      </w:r>
    </w:p>
    <w:p w14:paraId="6545B5D4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Malaysia is a critical corridor for labor from the G-5 (Bangladesh, Indonesia, Nepal, Philippines, Pakistan).</w:t>
      </w:r>
    </w:p>
    <w:p w14:paraId="3E5D82FF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Malaysia Outbound Volume (Est. 2024):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~$8.4 Billion USD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3196"/>
        <w:gridCol w:w="2386"/>
        <w:gridCol w:w="1835"/>
      </w:tblGrid>
      <w:tr w:rsidR="004E61D7" w:rsidRPr="004E61D7" w14:paraId="116519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74994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 Country</w:t>
            </w:r>
          </w:p>
        </w:tc>
        <w:tc>
          <w:tcPr>
            <w:tcW w:w="0" w:type="auto"/>
            <w:vAlign w:val="center"/>
            <w:hideMark/>
          </w:tcPr>
          <w:p w14:paraId="0F4E7D8C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513321F9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31AB3D8D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(%)*</w:t>
            </w:r>
          </w:p>
        </w:tc>
      </w:tr>
      <w:tr w:rsidR="004E61D7" w:rsidRPr="004E61D7" w14:paraId="494CF6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E5D12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Indonesia</w:t>
            </w:r>
          </w:p>
        </w:tc>
        <w:tc>
          <w:tcPr>
            <w:tcW w:w="0" w:type="auto"/>
            <w:vAlign w:val="center"/>
            <w:hideMark/>
          </w:tcPr>
          <w:p w14:paraId="4C656C4E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Merchantrade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BigPay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Valyou</w:t>
            </w:r>
          </w:p>
        </w:tc>
        <w:tc>
          <w:tcPr>
            <w:tcW w:w="0" w:type="auto"/>
            <w:vAlign w:val="center"/>
            <w:hideMark/>
          </w:tcPr>
          <w:p w14:paraId="69F8D469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$2.8 Billion</w:t>
            </w:r>
          </w:p>
        </w:tc>
        <w:tc>
          <w:tcPr>
            <w:tcW w:w="0" w:type="auto"/>
            <w:vAlign w:val="center"/>
            <w:hideMark/>
          </w:tcPr>
          <w:p w14:paraId="09F9A574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2.9% – 3.5%</w:t>
            </w:r>
          </w:p>
        </w:tc>
      </w:tr>
      <w:tr w:rsidR="004E61D7" w:rsidRPr="004E61D7" w14:paraId="51A2A9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6C902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Bangladesh</w:t>
            </w:r>
          </w:p>
        </w:tc>
        <w:tc>
          <w:tcPr>
            <w:tcW w:w="0" w:type="auto"/>
            <w:vAlign w:val="center"/>
            <w:hideMark/>
          </w:tcPr>
          <w:p w14:paraId="3BAA0C8C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Merchantrade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MoneyMatch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Valyou</w:t>
            </w:r>
          </w:p>
        </w:tc>
        <w:tc>
          <w:tcPr>
            <w:tcW w:w="0" w:type="auto"/>
            <w:vAlign w:val="center"/>
            <w:hideMark/>
          </w:tcPr>
          <w:p w14:paraId="05B020E4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$2.1 Billion</w:t>
            </w:r>
          </w:p>
        </w:tc>
        <w:tc>
          <w:tcPr>
            <w:tcW w:w="0" w:type="auto"/>
            <w:vAlign w:val="center"/>
            <w:hideMark/>
          </w:tcPr>
          <w:p w14:paraId="50EA8FFC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3.2% – 3.9%</w:t>
            </w:r>
          </w:p>
        </w:tc>
      </w:tr>
      <w:tr w:rsidR="004E61D7" w:rsidRPr="004E61D7" w14:paraId="56FFE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CEC4F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Nepal</w:t>
            </w:r>
          </w:p>
        </w:tc>
        <w:tc>
          <w:tcPr>
            <w:tcW w:w="0" w:type="auto"/>
            <w:vAlign w:val="center"/>
            <w:hideMark/>
          </w:tcPr>
          <w:p w14:paraId="6A1292F9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Merchantrade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IME Pay</w:t>
            </w:r>
          </w:p>
        </w:tc>
        <w:tc>
          <w:tcPr>
            <w:tcW w:w="0" w:type="auto"/>
            <w:vAlign w:val="center"/>
            <w:hideMark/>
          </w:tcPr>
          <w:p w14:paraId="659D5975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$1.4 Billion</w:t>
            </w:r>
          </w:p>
        </w:tc>
        <w:tc>
          <w:tcPr>
            <w:tcW w:w="0" w:type="auto"/>
            <w:vAlign w:val="center"/>
            <w:hideMark/>
          </w:tcPr>
          <w:p w14:paraId="607DD922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4.2%</w:t>
            </w:r>
          </w:p>
        </w:tc>
      </w:tr>
      <w:tr w:rsidR="004E61D7" w:rsidRPr="004E61D7" w14:paraId="735DB5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A05A8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7CD7DBC3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BigPay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Merchantrade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</w:t>
            </w:r>
          </w:p>
        </w:tc>
        <w:tc>
          <w:tcPr>
            <w:tcW w:w="0" w:type="auto"/>
            <w:vAlign w:val="center"/>
            <w:hideMark/>
          </w:tcPr>
          <w:p w14:paraId="0016D0F6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$0.9 Billion</w:t>
            </w:r>
          </w:p>
        </w:tc>
        <w:tc>
          <w:tcPr>
            <w:tcW w:w="0" w:type="auto"/>
            <w:vAlign w:val="center"/>
            <w:hideMark/>
          </w:tcPr>
          <w:p w14:paraId="065B306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3.1% – 3.7%</w:t>
            </w:r>
          </w:p>
        </w:tc>
      </w:tr>
      <w:tr w:rsidR="004E61D7" w:rsidRPr="004E61D7" w14:paraId="528A26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EE561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vAlign w:val="center"/>
            <w:hideMark/>
          </w:tcPr>
          <w:p w14:paraId="09B2AA8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MoneyMatch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Wise,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Merchantrade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45EE37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$0.5 Billion</w:t>
            </w:r>
          </w:p>
        </w:tc>
        <w:tc>
          <w:tcPr>
            <w:tcW w:w="0" w:type="auto"/>
            <w:vAlign w:val="center"/>
            <w:hideMark/>
          </w:tcPr>
          <w:p w14:paraId="63D08BA5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2.2% – 2.8%</w:t>
            </w:r>
          </w:p>
        </w:tc>
      </w:tr>
    </w:tbl>
    <w:p w14:paraId="18FBF1EE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pict w14:anchorId="3C5D88E9">
          <v:rect id="_x0000_i1027" style="width:0;height:1.5pt" o:hralign="center" o:hrstd="t" o:hr="t" fillcolor="#a0a0a0" stroked="f"/>
        </w:pict>
      </w:r>
    </w:p>
    <w:p w14:paraId="147CFAD3" w14:textId="77777777" w:rsidR="004E61D7" w:rsidRPr="004E61D7" w:rsidRDefault="004E61D7" w:rsidP="004E61D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Japan &amp; South Korea Outbound Remittance Markets</w:t>
      </w:r>
    </w:p>
    <w:p w14:paraId="19AF2F72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These markets have traditionally been bank-heavy but have seen a massive surge in specialized fintech aggregators serving technical interns and migrant workers.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2703"/>
        <w:gridCol w:w="2966"/>
        <w:gridCol w:w="1477"/>
        <w:gridCol w:w="1081"/>
      </w:tblGrid>
      <w:tr w:rsidR="004E61D7" w:rsidRPr="004E61D7" w14:paraId="13F400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BE421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Sending Hub</w:t>
            </w:r>
          </w:p>
        </w:tc>
        <w:tc>
          <w:tcPr>
            <w:tcW w:w="0" w:type="auto"/>
            <w:vAlign w:val="center"/>
            <w:hideMark/>
          </w:tcPr>
          <w:p w14:paraId="732BBD45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700906DC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Top Destinations</w:t>
            </w:r>
          </w:p>
        </w:tc>
        <w:tc>
          <w:tcPr>
            <w:tcW w:w="0" w:type="auto"/>
            <w:vAlign w:val="center"/>
            <w:hideMark/>
          </w:tcPr>
          <w:p w14:paraId="25591D6F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66CAFA5F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Avg. Cost (%)</w:t>
            </w:r>
          </w:p>
        </w:tc>
      </w:tr>
      <w:tr w:rsidR="004E61D7" w:rsidRPr="004E61D7" w14:paraId="055E4A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60C99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Japan</w:t>
            </w:r>
          </w:p>
        </w:tc>
        <w:tc>
          <w:tcPr>
            <w:tcW w:w="0" w:type="auto"/>
            <w:vAlign w:val="center"/>
            <w:hideMark/>
          </w:tcPr>
          <w:p w14:paraId="52DE0839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Kyodai, SBI Remit,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Brastel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</w:t>
            </w:r>
          </w:p>
        </w:tc>
        <w:tc>
          <w:tcPr>
            <w:tcW w:w="0" w:type="auto"/>
            <w:vAlign w:val="center"/>
            <w:hideMark/>
          </w:tcPr>
          <w:p w14:paraId="2AEE46DA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Vietnam, Philippines, China, Indonesia</w:t>
            </w:r>
          </w:p>
        </w:tc>
        <w:tc>
          <w:tcPr>
            <w:tcW w:w="0" w:type="auto"/>
            <w:vAlign w:val="center"/>
            <w:hideMark/>
          </w:tcPr>
          <w:p w14:paraId="1220F25D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$9.2 Billion</w:t>
            </w:r>
          </w:p>
        </w:tc>
        <w:tc>
          <w:tcPr>
            <w:tcW w:w="0" w:type="auto"/>
            <w:vAlign w:val="center"/>
            <w:hideMark/>
          </w:tcPr>
          <w:p w14:paraId="14FE931C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4.8% – 5.5%</w:t>
            </w:r>
          </w:p>
        </w:tc>
      </w:tr>
      <w:tr w:rsidR="004E61D7" w:rsidRPr="004E61D7" w14:paraId="5BB020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D30F4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South Korea</w:t>
            </w:r>
          </w:p>
        </w:tc>
        <w:tc>
          <w:tcPr>
            <w:tcW w:w="0" w:type="auto"/>
            <w:vAlign w:val="center"/>
            <w:hideMark/>
          </w:tcPr>
          <w:p w14:paraId="30FBC5BA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Sentbe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GME,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Hanpass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WireBarley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DD362E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Vietnam, Philippines, China, Nepal</w:t>
            </w:r>
          </w:p>
        </w:tc>
        <w:tc>
          <w:tcPr>
            <w:tcW w:w="0" w:type="auto"/>
            <w:vAlign w:val="center"/>
            <w:hideMark/>
          </w:tcPr>
          <w:p w14:paraId="527452BC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$13.5 Billion</w:t>
            </w:r>
          </w:p>
        </w:tc>
        <w:tc>
          <w:tcPr>
            <w:tcW w:w="0" w:type="auto"/>
            <w:vAlign w:val="center"/>
            <w:hideMark/>
          </w:tcPr>
          <w:p w14:paraId="5396CFD6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3.9% – 4.7%</w:t>
            </w:r>
          </w:p>
        </w:tc>
      </w:tr>
    </w:tbl>
    <w:p w14:paraId="0EEB27CC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pict w14:anchorId="6B5A25F6">
          <v:rect id="_x0000_i1028" style="width:0;height:1.5pt" o:hralign="center" o:hrstd="t" o:hr="t" fillcolor="#a0a0a0" stroked="f"/>
        </w:pict>
      </w:r>
    </w:p>
    <w:p w14:paraId="6E626378" w14:textId="77777777" w:rsidR="004E61D7" w:rsidRPr="004E61D7" w:rsidRDefault="004E61D7" w:rsidP="004E61D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5. Middle-Income Asian Senders (Thailand &amp; Taiwan)</w:t>
      </w:r>
    </w:p>
    <w:p w14:paraId="4F8EF2CC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Thailand has recently liberalized its "Non-bank FX" licenses, allowing a new wave of aggregators to compete with the big four banks.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3141"/>
        <w:gridCol w:w="2532"/>
        <w:gridCol w:w="1467"/>
        <w:gridCol w:w="1059"/>
      </w:tblGrid>
      <w:tr w:rsidR="004E61D7" w:rsidRPr="004E61D7" w14:paraId="00B72A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54DDB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Sending Hub</w:t>
            </w:r>
          </w:p>
        </w:tc>
        <w:tc>
          <w:tcPr>
            <w:tcW w:w="0" w:type="auto"/>
            <w:vAlign w:val="center"/>
            <w:hideMark/>
          </w:tcPr>
          <w:p w14:paraId="7888AAEA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2E11C37A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Top Destinations</w:t>
            </w:r>
          </w:p>
        </w:tc>
        <w:tc>
          <w:tcPr>
            <w:tcW w:w="0" w:type="auto"/>
            <w:vAlign w:val="center"/>
            <w:hideMark/>
          </w:tcPr>
          <w:p w14:paraId="7A84EB85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584C431A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Cost (%)</w:t>
            </w:r>
          </w:p>
        </w:tc>
      </w:tr>
      <w:tr w:rsidR="004E61D7" w:rsidRPr="004E61D7" w14:paraId="2FCECF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81C80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Thailand</w:t>
            </w:r>
          </w:p>
        </w:tc>
        <w:tc>
          <w:tcPr>
            <w:tcW w:w="0" w:type="auto"/>
            <w:vAlign w:val="center"/>
            <w:hideMark/>
          </w:tcPr>
          <w:p w14:paraId="026A1B05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DeeMoney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Wise, K-Bank Digital</w:t>
            </w:r>
          </w:p>
        </w:tc>
        <w:tc>
          <w:tcPr>
            <w:tcW w:w="0" w:type="auto"/>
            <w:vAlign w:val="center"/>
            <w:hideMark/>
          </w:tcPr>
          <w:p w14:paraId="3B9B367E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Myanmar, Cambodia, Laos, China</w:t>
            </w:r>
          </w:p>
        </w:tc>
        <w:tc>
          <w:tcPr>
            <w:tcW w:w="0" w:type="auto"/>
            <w:vAlign w:val="center"/>
            <w:hideMark/>
          </w:tcPr>
          <w:p w14:paraId="4C864D4A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$3.2 Billion</w:t>
            </w:r>
          </w:p>
        </w:tc>
        <w:tc>
          <w:tcPr>
            <w:tcW w:w="0" w:type="auto"/>
            <w:vAlign w:val="center"/>
            <w:hideMark/>
          </w:tcPr>
          <w:p w14:paraId="574FE9F2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4.8%</w:t>
            </w:r>
          </w:p>
        </w:tc>
      </w:tr>
      <w:tr w:rsidR="004E61D7" w:rsidRPr="004E61D7" w14:paraId="0B4D77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AE1CD" w14:textId="77777777" w:rsidR="004E61D7" w:rsidRPr="004E61D7" w:rsidRDefault="004E61D7" w:rsidP="004E61D7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Taiwan</w:t>
            </w:r>
          </w:p>
        </w:tc>
        <w:tc>
          <w:tcPr>
            <w:tcW w:w="0" w:type="auto"/>
            <w:vAlign w:val="center"/>
            <w:hideMark/>
          </w:tcPr>
          <w:p w14:paraId="52B544D2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EMQ, </w:t>
            </w:r>
            <w:proofErr w:type="spellStart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CherryPay</w:t>
            </w:r>
            <w:proofErr w:type="spellEnd"/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(Restricted), Western Union</w:t>
            </w:r>
          </w:p>
        </w:tc>
        <w:tc>
          <w:tcPr>
            <w:tcW w:w="0" w:type="auto"/>
            <w:vAlign w:val="center"/>
            <w:hideMark/>
          </w:tcPr>
          <w:p w14:paraId="0F1E13D8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Philippines, Indonesia, Vietnam</w:t>
            </w:r>
          </w:p>
        </w:tc>
        <w:tc>
          <w:tcPr>
            <w:tcW w:w="0" w:type="auto"/>
            <w:vAlign w:val="center"/>
            <w:hideMark/>
          </w:tcPr>
          <w:p w14:paraId="0FEBF9FF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$2.8 Billion</w:t>
            </w:r>
          </w:p>
        </w:tc>
        <w:tc>
          <w:tcPr>
            <w:tcW w:w="0" w:type="auto"/>
            <w:vAlign w:val="center"/>
            <w:hideMark/>
          </w:tcPr>
          <w:p w14:paraId="6AE26BC6" w14:textId="77777777" w:rsidR="004E61D7" w:rsidRPr="004E61D7" w:rsidRDefault="004E61D7" w:rsidP="004E61D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E61D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4.2% – 5.1%</w:t>
            </w:r>
          </w:p>
        </w:tc>
      </w:tr>
    </w:tbl>
    <w:p w14:paraId="35E88B3E" w14:textId="18686028" w:rsid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316A5DF" w14:textId="77777777" w:rsidR="004E61D7" w:rsidRPr="004E61D7" w:rsidRDefault="004E61D7" w:rsidP="004E61D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3532914E" w14:textId="77777777" w:rsidR="004E61D7" w:rsidRPr="004E61D7" w:rsidRDefault="004E61D7" w:rsidP="004E61D7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Key Market Characteristics (2024–2025)</w:t>
      </w:r>
    </w:p>
    <w:p w14:paraId="6FFD379F" w14:textId="77777777" w:rsidR="004E61D7" w:rsidRPr="004E61D7" w:rsidRDefault="004E61D7" w:rsidP="004E61D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Corridor Dominance: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Hong Kong to Mainland China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corridor is the largest in Asia, largely facilitated by the "e-wallet war" between </w:t>
      </w:r>
      <w:proofErr w:type="spellStart"/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AlipayHK</w:t>
      </w:r>
      <w:proofErr w:type="spellEnd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WeChat Pay HK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604BCA3E" w14:textId="77777777" w:rsidR="004E61D7" w:rsidRPr="004E61D7" w:rsidRDefault="004E61D7" w:rsidP="004E61D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Vietnam Surge: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Vietnam has become the #1 destination for remittances from Japan and South Korea due to the massive influx of "Technical Interns" and overseas workers in the manufacturing sectors.</w:t>
      </w:r>
    </w:p>
    <w:p w14:paraId="569A938C" w14:textId="77777777" w:rsidR="004E61D7" w:rsidRPr="004E61D7" w:rsidRDefault="004E61D7" w:rsidP="004E61D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Low-Cost Leader: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Singapore to Malaysia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remains one of the cheapest corridors globally, with total costs often dipping below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1.5%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for digital-to-digital transfers.</w:t>
      </w:r>
    </w:p>
    <w:p w14:paraId="031B58B3" w14:textId="77777777" w:rsidR="004E61D7" w:rsidRPr="004E61D7" w:rsidRDefault="004E61D7" w:rsidP="004E61D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Instant Payouts: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Aggregators in Singapore (e.g., </w:t>
      </w:r>
      <w:proofErr w:type="spellStart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InstaReem</w:t>
      </w:r>
      <w:proofErr w:type="spellEnd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) and Malaysia (e.g., </w:t>
      </w:r>
      <w:proofErr w:type="spellStart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>BigPay</w:t>
      </w:r>
      <w:proofErr w:type="spellEnd"/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) now offer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real-time settlement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major Southeast Asian banks, a feature that was nearly non-existent five years ago.</w:t>
      </w:r>
    </w:p>
    <w:p w14:paraId="4B2681A6" w14:textId="77777777" w:rsidR="004E61D7" w:rsidRPr="004E61D7" w:rsidRDefault="004E61D7" w:rsidP="004E61D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Regulatory Specifics: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South Korea and Japan require aggregators to hold specific "Small-Grant Electronic Remittance" licenses, which cap the amount per transaction but allow for much lower fees than traditional banks.</w:t>
      </w:r>
    </w:p>
    <w:p w14:paraId="1F48A71C" w14:textId="77777777" w:rsidR="004E61D7" w:rsidRPr="004E61D7" w:rsidRDefault="004E61D7" w:rsidP="004E61D7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4E61D7">
        <w:rPr>
          <w:rFonts w:eastAsia="Times New Roman" w:cs="Times New Roman"/>
          <w:b/>
          <w:bCs/>
          <w:kern w:val="0"/>
          <w14:ligatures w14:val="none"/>
        </w:rPr>
        <w:t>Data Year and Sources</w:t>
      </w:r>
    </w:p>
    <w:p w14:paraId="413F9392" w14:textId="77777777" w:rsidR="004E61D7" w:rsidRPr="004E61D7" w:rsidRDefault="004E61D7" w:rsidP="004E61D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Volume Data: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Based on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2023-2024 Full Year Actuals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reported by Central Banks.</w:t>
      </w:r>
    </w:p>
    <w:p w14:paraId="3F0D1CEF" w14:textId="77777777" w:rsidR="004E61D7" w:rsidRPr="004E61D7" w:rsidRDefault="004E61D7" w:rsidP="004E61D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Cost Data: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Based on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 RPW Q4 2024 and Q1 2025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price points for a $200 (or local equivalent) transfer.</w:t>
      </w:r>
    </w:p>
    <w:p w14:paraId="0F5E7009" w14:textId="251F56CE" w:rsidR="00A03483" w:rsidRPr="004E61D7" w:rsidRDefault="004E61D7" w:rsidP="004E61D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Aggregator Identification: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Based on </w:t>
      </w:r>
      <w:r w:rsidRPr="004E61D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FXC Intelligence 2025 Market Map</w:t>
      </w:r>
      <w:r w:rsidRPr="004E61D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local fintech association registers.</w:t>
      </w:r>
    </w:p>
    <w:sectPr w:rsidR="00A03483" w:rsidRPr="004E6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88A"/>
    <w:multiLevelType w:val="multilevel"/>
    <w:tmpl w:val="4722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87120"/>
    <w:multiLevelType w:val="multilevel"/>
    <w:tmpl w:val="4C90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25366">
    <w:abstractNumId w:val="0"/>
  </w:num>
  <w:num w:numId="2" w16cid:durableId="40842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NTe3MDY2sDQ1NjFS0lEKTi0uzszPAykwrAUA5iNQMSwAAAA="/>
  </w:docVars>
  <w:rsids>
    <w:rsidRoot w:val="004E61D7"/>
    <w:rsid w:val="004E61D7"/>
    <w:rsid w:val="005020E7"/>
    <w:rsid w:val="0098613E"/>
    <w:rsid w:val="00A03483"/>
    <w:rsid w:val="00E11D3E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7EEE"/>
  <w15:chartTrackingRefBased/>
  <w15:docId w15:val="{3C668BBE-297E-487A-88BC-C3B48100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6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1D7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4E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4E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678</Words>
  <Characters>3986</Characters>
  <Application>Microsoft Office Word</Application>
  <DocSecurity>0</DocSecurity>
  <Lines>181</Lines>
  <Paragraphs>141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2026-02-06T13:23:00Z</dcterms:created>
  <dcterms:modified xsi:type="dcterms:W3CDTF">2026-02-06T13:28:00Z</dcterms:modified>
</cp:coreProperties>
</file>