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5AAA" w14:textId="77777777" w:rsidR="00D474BE" w:rsidRDefault="009328D8" w:rsidP="009328D8">
      <w:pPr>
        <w:pStyle w:val="ng-star-inserted"/>
        <w:shd w:val="clear" w:color="auto" w:fill="FFFFFF"/>
        <w:spacing w:before="0" w:beforeAutospacing="0" w:after="120" w:afterAutospacing="0"/>
        <w:rPr>
          <w:rFonts w:asciiTheme="minorHAnsi" w:hAnsiTheme="minorHAnsi" w:cs="Arial"/>
          <w:color w:val="1A1C1E"/>
          <w:sz w:val="21"/>
          <w:szCs w:val="21"/>
        </w:rPr>
      </w:pPr>
      <w:r w:rsidRPr="009328D8">
        <w:rPr>
          <w:rFonts w:asciiTheme="minorHAnsi" w:hAnsiTheme="minorHAnsi" w:cs="Arial"/>
          <w:color w:val="1A1C1E"/>
          <w:sz w:val="21"/>
          <w:szCs w:val="21"/>
        </w:rPr>
        <w:t>The </w:t>
      </w:r>
      <w:r w:rsidRPr="009328D8">
        <w:rPr>
          <w:rFonts w:asciiTheme="minorHAnsi" w:hAnsiTheme="minorHAnsi" w:cs="Arial"/>
          <w:b/>
          <w:bCs/>
          <w:color w:val="1A1C1E"/>
          <w:sz w:val="21"/>
          <w:szCs w:val="21"/>
        </w:rPr>
        <w:t>Southern African Development Community (SADC)</w:t>
      </w:r>
      <w:r w:rsidRPr="009328D8">
        <w:rPr>
          <w:rFonts w:asciiTheme="minorHAnsi" w:hAnsiTheme="minorHAnsi" w:cs="Arial"/>
          <w:color w:val="1A1C1E"/>
          <w:sz w:val="21"/>
          <w:szCs w:val="21"/>
        </w:rPr>
        <w:t xml:space="preserve"> is a regional geopolitical and economic union of 16 member states. </w:t>
      </w:r>
    </w:p>
    <w:p w14:paraId="0FFA70CC" w14:textId="159F08A5" w:rsidR="009328D8" w:rsidRPr="009328D8" w:rsidRDefault="009328D8" w:rsidP="009328D8">
      <w:pPr>
        <w:pStyle w:val="ng-star-inserted"/>
        <w:shd w:val="clear" w:color="auto" w:fill="FFFFFF"/>
        <w:spacing w:before="0" w:beforeAutospacing="0" w:after="120" w:afterAutospacing="0"/>
        <w:rPr>
          <w:rFonts w:asciiTheme="minorHAnsi" w:hAnsiTheme="minorHAnsi" w:cs="Arial"/>
          <w:color w:val="1A1C1E"/>
          <w:sz w:val="21"/>
          <w:szCs w:val="21"/>
        </w:rPr>
      </w:pPr>
      <w:r w:rsidRPr="009328D8">
        <w:rPr>
          <w:rFonts w:asciiTheme="minorHAnsi" w:hAnsiTheme="minorHAnsi" w:cs="Arial"/>
          <w:color w:val="1A1C1E"/>
          <w:sz w:val="21"/>
          <w:szCs w:val="21"/>
        </w:rPr>
        <w:t>In the context of your previous questions regarding trade, remittances, and finance, SADC is one of the most complex yet high-potential regions for </w:t>
      </w:r>
      <w:r w:rsidRPr="009328D8">
        <w:rPr>
          <w:rFonts w:asciiTheme="minorHAnsi" w:hAnsiTheme="minorHAnsi" w:cs="Arial"/>
          <w:b/>
          <w:bCs/>
          <w:color w:val="1A1C1E"/>
          <w:sz w:val="21"/>
          <w:szCs w:val="21"/>
        </w:rPr>
        <w:t>Tradetech</w:t>
      </w:r>
      <w:r w:rsidRPr="009328D8">
        <w:rPr>
          <w:rFonts w:asciiTheme="minorHAnsi" w:hAnsiTheme="minorHAnsi" w:cs="Arial"/>
          <w:color w:val="1A1C1E"/>
          <w:sz w:val="21"/>
          <w:szCs w:val="21"/>
        </w:rPr>
        <w:t> and </w:t>
      </w:r>
      <w:r w:rsidRPr="009328D8">
        <w:rPr>
          <w:rFonts w:asciiTheme="minorHAnsi" w:hAnsiTheme="minorHAnsi" w:cs="Arial"/>
          <w:b/>
          <w:bCs/>
          <w:color w:val="1A1C1E"/>
          <w:sz w:val="21"/>
          <w:szCs w:val="21"/>
        </w:rPr>
        <w:t>Remittance Netting</w:t>
      </w:r>
      <w:r w:rsidRPr="009328D8">
        <w:rPr>
          <w:rFonts w:asciiTheme="minorHAnsi" w:hAnsiTheme="minorHAnsi" w:cs="Arial"/>
          <w:color w:val="1A1C1E"/>
          <w:sz w:val="21"/>
          <w:szCs w:val="21"/>
        </w:rPr>
        <w:t> because of the dominance of South Africa and the unique regional settlement systems.</w:t>
      </w:r>
    </w:p>
    <w:p w14:paraId="15C60493" w14:textId="583620FC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H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 xml:space="preserve">ere is </w:t>
      </w:r>
      <w:r>
        <w:rPr>
          <w:rFonts w:eastAsia="Times New Roman" w:cs="Arial"/>
          <w:color w:val="1A1C1E"/>
          <w:kern w:val="0"/>
          <w:sz w:val="21"/>
          <w:szCs w:val="21"/>
          <w14:ligatures w14:val="none"/>
        </w:rPr>
        <w:t xml:space="preserve">the 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early 202</w:t>
      </w:r>
      <w:r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6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 xml:space="preserve"> comprehensive breakdown of the SADC region's economic and financial landscape.</w:t>
      </w:r>
    </w:p>
    <w:p w14:paraId="68AA334C" w14:textId="37420C1A" w:rsidR="009328D8" w:rsidRPr="009328D8" w:rsidRDefault="00314BE3" w:rsidP="001845E2">
      <w:pPr>
        <w:shd w:val="clear" w:color="auto" w:fill="FFFFFF"/>
        <w:spacing w:after="270" w:line="300" w:lineRule="atLeast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r w:rsidRPr="00314BE3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As of 2026, the 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Southern African Development Community (SADC)</w:t>
      </w:r>
      <w:r w:rsidRPr="00314BE3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consists of 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16 member states</w:t>
      </w:r>
      <w:r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: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Angola</w:t>
      </w:r>
      <w:r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;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Botswana</w:t>
      </w:r>
      <w:r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 xml:space="preserve">;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Comoros</w:t>
      </w:r>
      <w:r w:rsidRPr="00314BE3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(Union of Comoros)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;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Democratic Republic of Congo</w:t>
      </w:r>
      <w:r w:rsidRPr="00314BE3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(DRC)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;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Eswatini</w:t>
      </w:r>
      <w:r w:rsidRPr="00314BE3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(formerly Swaziland)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Lesotho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Madagascar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Malawi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Mauritius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Mozambique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Namibia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Seychelles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South Africa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Tanzania</w:t>
      </w:r>
      <w:r w:rsidRPr="00314BE3"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 (United Republic of Tanzania)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Zambia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>;</w:t>
      </w:r>
      <w:r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  <w:t xml:space="preserve"> </w:t>
      </w:r>
      <w:r w:rsidRPr="00314BE3"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Zimbabwe</w:t>
      </w:r>
      <w:r>
        <w:rPr>
          <w:rFonts w:ascii="Arial" w:eastAsia="Times New Roman" w:hAnsi="Arial" w:cs="Arial"/>
          <w:b/>
          <w:bCs/>
          <w:color w:val="1A1C1E"/>
          <w:kern w:val="0"/>
          <w:sz w:val="21"/>
          <w:szCs w:val="21"/>
          <w14:ligatures w14:val="none"/>
        </w:rPr>
        <w:t>.</w:t>
      </w:r>
    </w:p>
    <w:p w14:paraId="647ED7C7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1. Member States &amp; Economic Tiers</w:t>
      </w:r>
    </w:p>
    <w:p w14:paraId="7128E015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The SADC is not a monolith; it contains diverse economic profiles:</w:t>
      </w:r>
    </w:p>
    <w:p w14:paraId="482969F5" w14:textId="77777777" w:rsidR="009328D8" w:rsidRPr="009328D8" w:rsidRDefault="009328D8" w:rsidP="009328D8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High Income: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Mauritius, Seychelles.</w:t>
      </w:r>
    </w:p>
    <w:p w14:paraId="77D2BE3B" w14:textId="77777777" w:rsidR="009328D8" w:rsidRPr="009328D8" w:rsidRDefault="009328D8" w:rsidP="009328D8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Upper-Middle Income: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South Africa, Botswana, Namibia.</w:t>
      </w:r>
    </w:p>
    <w:p w14:paraId="6AD8E2A7" w14:textId="77777777" w:rsidR="009328D8" w:rsidRPr="009328D8" w:rsidRDefault="009328D8" w:rsidP="009328D8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Lower-Middle &amp; Low Income (LMICs):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Angola, DRC, Eswatini, Lesotho, Madagascar, Malawi, Mozambique, Tanzania, Union of Comoros, Zambia, Zimbabwe.</w:t>
      </w:r>
    </w:p>
    <w:p w14:paraId="1D7C1F60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2. The SADC-RTGS (The Financial Backbone)</w:t>
      </w:r>
    </w:p>
    <w:p w14:paraId="3DCC5F58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One of the most important developments for Tradetech and netting in the region is the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SADC Real-Time Gross Settlement System (SADC-RTGS)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, formerly known as SIRESS.</w:t>
      </w:r>
    </w:p>
    <w:p w14:paraId="64729905" w14:textId="77777777" w:rsidR="009328D8" w:rsidRPr="009328D8" w:rsidRDefault="009328D8" w:rsidP="009328D8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What it is: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An automated interbank settlement system for cross-border payments.</w:t>
      </w:r>
    </w:p>
    <w:p w14:paraId="1B653DCB" w14:textId="77777777" w:rsidR="009328D8" w:rsidRPr="009328D8" w:rsidRDefault="009328D8" w:rsidP="009328D8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How it works: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Instead of routing payments through London or New York (USD), SADC banks can settle directly in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South African Rand (ZAR)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</w:t>
      </w:r>
    </w:p>
    <w:p w14:paraId="16005A95" w14:textId="77777777" w:rsidR="009328D8" w:rsidRPr="009328D8" w:rsidRDefault="009328D8" w:rsidP="009328D8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Impact on Netting: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This system significantly reduces the cost of intra-regional trade. Aggregators and corporate exporters use the SADC-RTGS to settle debts across the 16 countries without needing "hard" USD for every transaction.</w:t>
      </w:r>
    </w:p>
    <w:p w14:paraId="269FC4B2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3. Remittance Corridors and Aggregators</w:t>
      </w:r>
    </w:p>
    <w:p w14:paraId="5A49ADD7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SADC contains some of the highest-volume remittance corridors in Africa, primarily outbound from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South Africa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to neighboring LMICs.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2655"/>
        <w:gridCol w:w="1845"/>
        <w:gridCol w:w="1800"/>
      </w:tblGrid>
      <w:tr w:rsidR="009328D8" w:rsidRPr="009328D8" w14:paraId="51C02F3E" w14:textId="77777777" w:rsidTr="00D474BE">
        <w:trPr>
          <w:trHeight w:val="528"/>
          <w:tblCellSpacing w:w="15" w:type="dxa"/>
        </w:trPr>
        <w:tc>
          <w:tcPr>
            <w:tcW w:w="3015" w:type="dxa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79EEE64" w14:textId="77777777" w:rsidR="009328D8" w:rsidRPr="009328D8" w:rsidRDefault="009328D8" w:rsidP="009328D8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Corridor</w:t>
            </w:r>
          </w:p>
        </w:tc>
        <w:tc>
          <w:tcPr>
            <w:tcW w:w="2625" w:type="dxa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2C51A4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Key Aggregators</w:t>
            </w:r>
          </w:p>
        </w:tc>
        <w:tc>
          <w:tcPr>
            <w:tcW w:w="1815" w:type="dxa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44B5DA" w14:textId="77855841" w:rsidR="009328D8" w:rsidRPr="009328D8" w:rsidRDefault="00D474BE" w:rsidP="009328D8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2024/25</w:t>
            </w:r>
            <w:r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 xml:space="preserve"> </w:t>
            </w:r>
            <w:r w:rsidR="009328D8"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Vol</w:t>
            </w:r>
            <w:r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.</w:t>
            </w:r>
          </w:p>
        </w:tc>
        <w:tc>
          <w:tcPr>
            <w:tcW w:w="1755" w:type="dxa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9014BA7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Avg. Cost (%)</w:t>
            </w:r>
          </w:p>
        </w:tc>
      </w:tr>
      <w:tr w:rsidR="009328D8" w:rsidRPr="009328D8" w14:paraId="739B7AB5" w14:textId="77777777" w:rsidTr="00D474BE">
        <w:trPr>
          <w:trHeight w:val="498"/>
          <w:tblCellSpacing w:w="15" w:type="dxa"/>
        </w:trPr>
        <w:tc>
          <w:tcPr>
            <w:tcW w:w="30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E134BD" w14:textId="77777777" w:rsidR="009328D8" w:rsidRPr="009328D8" w:rsidRDefault="009328D8" w:rsidP="009328D8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South Africa → Zimbabwe</w:t>
            </w:r>
          </w:p>
        </w:tc>
        <w:tc>
          <w:tcPr>
            <w:tcW w:w="262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B120FB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Mukuru, Mama Money, Hello Paisa</w:t>
            </w:r>
          </w:p>
        </w:tc>
        <w:tc>
          <w:tcPr>
            <w:tcW w:w="18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C4B33B8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~$850M</w:t>
            </w:r>
          </w:p>
        </w:tc>
        <w:tc>
          <w:tcPr>
            <w:tcW w:w="175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0C0151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7.5% – 9.0%</w:t>
            </w:r>
          </w:p>
        </w:tc>
      </w:tr>
      <w:tr w:rsidR="009328D8" w:rsidRPr="009328D8" w14:paraId="10F9B065" w14:textId="77777777" w:rsidTr="00D474BE">
        <w:trPr>
          <w:trHeight w:val="552"/>
          <w:tblCellSpacing w:w="15" w:type="dxa"/>
        </w:trPr>
        <w:tc>
          <w:tcPr>
            <w:tcW w:w="30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BF5C61" w14:textId="77777777" w:rsidR="009328D8" w:rsidRPr="009328D8" w:rsidRDefault="009328D8" w:rsidP="009328D8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South Africa → Mozambique</w:t>
            </w:r>
          </w:p>
        </w:tc>
        <w:tc>
          <w:tcPr>
            <w:tcW w:w="262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47BAFE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Mama Money, Western Union</w:t>
            </w:r>
          </w:p>
        </w:tc>
        <w:tc>
          <w:tcPr>
            <w:tcW w:w="18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DDA699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~$220M</w:t>
            </w:r>
          </w:p>
        </w:tc>
        <w:tc>
          <w:tcPr>
            <w:tcW w:w="175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4D0D07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8.5% – 10.0%</w:t>
            </w:r>
          </w:p>
        </w:tc>
      </w:tr>
      <w:tr w:rsidR="009328D8" w:rsidRPr="009328D8" w14:paraId="5C0B7D3B" w14:textId="77777777" w:rsidTr="009328D8">
        <w:trPr>
          <w:tblCellSpacing w:w="15" w:type="dxa"/>
        </w:trPr>
        <w:tc>
          <w:tcPr>
            <w:tcW w:w="30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5F0C711" w14:textId="77777777" w:rsidR="009328D8" w:rsidRPr="009328D8" w:rsidRDefault="009328D8" w:rsidP="009328D8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South Africa → Malawi</w:t>
            </w:r>
          </w:p>
        </w:tc>
        <w:tc>
          <w:tcPr>
            <w:tcW w:w="262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11AFBF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Mukuru, Sikhona</w:t>
            </w:r>
          </w:p>
        </w:tc>
        <w:tc>
          <w:tcPr>
            <w:tcW w:w="18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8FDA52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~$140M</w:t>
            </w:r>
          </w:p>
        </w:tc>
        <w:tc>
          <w:tcPr>
            <w:tcW w:w="175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B774E0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9.0% – 11.5%</w:t>
            </w:r>
          </w:p>
        </w:tc>
      </w:tr>
      <w:tr w:rsidR="009328D8" w:rsidRPr="009328D8" w14:paraId="7FBF3560" w14:textId="77777777" w:rsidTr="00D474BE">
        <w:trPr>
          <w:trHeight w:val="435"/>
          <w:tblCellSpacing w:w="15" w:type="dxa"/>
        </w:trPr>
        <w:tc>
          <w:tcPr>
            <w:tcW w:w="30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D021B1" w14:textId="77777777" w:rsidR="009328D8" w:rsidRPr="009328D8" w:rsidRDefault="009328D8" w:rsidP="009328D8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South Africa → Lesotho</w:t>
            </w:r>
          </w:p>
        </w:tc>
        <w:tc>
          <w:tcPr>
            <w:tcW w:w="262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A9544D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Shoprite Money Market, EcoCash</w:t>
            </w:r>
          </w:p>
        </w:tc>
        <w:tc>
          <w:tcPr>
            <w:tcW w:w="181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113CF03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~$110M</w:t>
            </w:r>
          </w:p>
        </w:tc>
        <w:tc>
          <w:tcPr>
            <w:tcW w:w="1755" w:type="dxa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FF9730A" w14:textId="77777777" w:rsidR="009328D8" w:rsidRPr="009328D8" w:rsidRDefault="009328D8" w:rsidP="009328D8">
            <w:pPr>
              <w:spacing w:after="120" w:line="240" w:lineRule="auto"/>
              <w:jc w:val="center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9328D8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4.0% – 6.0%*</w:t>
            </w:r>
          </w:p>
        </w:tc>
      </w:tr>
    </w:tbl>
    <w:p w14:paraId="656F8F8C" w14:textId="77777777" w:rsidR="009328D8" w:rsidRPr="009328D8" w:rsidRDefault="009328D8" w:rsidP="009328D8">
      <w:pPr>
        <w:shd w:val="clear" w:color="auto" w:fill="FFFFFF"/>
        <w:spacing w:before="120"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*Note: Lesotho/Eswatini/Namibia costs are lower because they belong to the Common Monetary Area (CMA) with South Africa, where currencies are pegged 1:1 to the Rand.</w:t>
      </w:r>
    </w:p>
    <w:p w14:paraId="03E2C874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4. Non-Energy Trade &amp; Exporters</w:t>
      </w:r>
    </w:p>
    <w:p w14:paraId="2E30AE68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While Angola (Oil) and DRC (Cobalt) are energy/mineral heavy, SADC has a massive non-energy industrial base, mostly headquartered in South Africa but exporting to the rest of the bloc.</w:t>
      </w:r>
    </w:p>
    <w:p w14:paraId="1C9FA253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Top Non-Energy SADC Exporters to regional LMICs:</w:t>
      </w:r>
    </w:p>
    <w:p w14:paraId="33231C20" w14:textId="77777777" w:rsidR="009328D8" w:rsidRPr="009328D8" w:rsidRDefault="009328D8" w:rsidP="009328D8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Shoprite / Checkers: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Massive retail export and logistics footprint.</w:t>
      </w:r>
    </w:p>
    <w:p w14:paraId="64FAC686" w14:textId="77777777" w:rsidR="009328D8" w:rsidRPr="009328D8" w:rsidRDefault="009328D8" w:rsidP="009328D8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Tiger Brands: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FMCG (Food/Consumer goods) across the whole region.</w:t>
      </w:r>
    </w:p>
    <w:p w14:paraId="039EE6CA" w14:textId="77777777" w:rsidR="009328D8" w:rsidRPr="009328D8" w:rsidRDefault="009328D8" w:rsidP="009328D8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Sappi / Mondi: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Paper and pulp to regional industrial hubs.</w:t>
      </w:r>
    </w:p>
    <w:p w14:paraId="02087A46" w14:textId="77777777" w:rsidR="009328D8" w:rsidRPr="009328D8" w:rsidRDefault="009328D8" w:rsidP="009328D8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Tongaat Hulett: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Sugar and agri-processing.</w:t>
      </w:r>
    </w:p>
    <w:p w14:paraId="1A478D53" w14:textId="77777777" w:rsidR="009328D8" w:rsidRPr="009328D8" w:rsidRDefault="009328D8" w:rsidP="009328D8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Standard Bank / FirstRand: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Service exports (Banking/Fintech).</w:t>
      </w:r>
    </w:p>
    <w:p w14:paraId="46055DFB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5. Regulatory Landscape &amp; "Netting" Status</w:t>
      </w:r>
    </w:p>
    <w:p w14:paraId="56F332D6" w14:textId="77777777" w:rsidR="009328D8" w:rsidRPr="009328D8" w:rsidRDefault="009328D8" w:rsidP="009328D8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South Africa (SARB):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Allows settlement netting for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Authorized Dealers with Limited Authority (ADLAs)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. This is why companies like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Mukuru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can operate efficiently—they net their ZAR inflows against payout obligations in Zimbabwe or Malawi.</w:t>
      </w:r>
    </w:p>
    <w:p w14:paraId="4AF20E9D" w14:textId="77777777" w:rsidR="009328D8" w:rsidRPr="009328D8" w:rsidRDefault="009328D8" w:rsidP="009328D8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Mauritius (FSC):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Functions as the "Bermuda of Africa." Many SADC-focused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Series A and B Tradetech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firms are incorporated in Mauritius because it allows for easy "Netting" of global USD investments into regional LMIC operations.</w:t>
      </w:r>
    </w:p>
    <w:p w14:paraId="432772D4" w14:textId="77777777" w:rsidR="009328D8" w:rsidRPr="009328D8" w:rsidRDefault="009328D8" w:rsidP="009328D8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Zimbabwe (RBZ):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Strictly prohibits informal netting. All corporate outbound flows must be authorized via the "Exchange Control Press Statement" system.</w:t>
      </w:r>
    </w:p>
    <w:p w14:paraId="5B6D0807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6. Tradetech &amp; Investment Trends (Series A/B/C)</w:t>
      </w:r>
    </w:p>
    <w:p w14:paraId="00D9ECA8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The SADC region (specifically the Cape Town-Johannesburg-Nairobi axis) is a primary target for the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Family Offices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you inquired about.</w:t>
      </w:r>
    </w:p>
    <w:p w14:paraId="4358A307" w14:textId="77777777" w:rsidR="009328D8" w:rsidRPr="009328D8" w:rsidRDefault="009328D8" w:rsidP="009328D8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Series A/B Focus: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Currently on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"Interoperability."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Startups like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MFS Africa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(now Onafriq) act as an aggregator of aggregators, connecting mobile money wallets across SADC.</w:t>
      </w:r>
    </w:p>
    <w:p w14:paraId="3A730DA6" w14:textId="77777777" w:rsidR="009328D8" w:rsidRDefault="009328D8" w:rsidP="009328D8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Tradetech Innovation: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There is a surge in </w:t>
      </w: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"Embedded Finance"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for SADC exporters. Companies are building platforms where a Zambian copper-transport firm can receive payment, net its fuel costs in ZAR, and pay its drivers in Kwacha (ZMK) through a single dashboard.</w:t>
      </w:r>
    </w:p>
    <w:p w14:paraId="4B491184" w14:textId="77777777" w:rsidR="00314BE3" w:rsidRPr="009328D8" w:rsidRDefault="00314BE3" w:rsidP="00314BE3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</w:p>
    <w:p w14:paraId="6ADF70E5" w14:textId="77777777" w:rsidR="009328D8" w:rsidRPr="009328D8" w:rsidRDefault="009328D8" w:rsidP="009328D8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lastRenderedPageBreak/>
        <w:t>7. Key Challenges (2025–2026)</w:t>
      </w:r>
    </w:p>
    <w:p w14:paraId="18FAE7FF" w14:textId="77777777" w:rsidR="009328D8" w:rsidRPr="009328D8" w:rsidRDefault="009328D8" w:rsidP="009328D8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FATF Greylisting: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Both South Africa and several other SADC nations have faced FATF "Greylisting." This has increased the "Compliance Cost" for remittance aggregators, as they now require more rigorous KYC/AML checks, slightly slowing down settlement times.</w:t>
      </w:r>
    </w:p>
    <w:p w14:paraId="6085439D" w14:textId="522C0109" w:rsidR="00314BE3" w:rsidRPr="00314BE3" w:rsidRDefault="009328D8" w:rsidP="00314BE3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Infrastructure: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While the SADC-RTGS works well for banks, "Last Mile" delivery in countries like the DRC or Mozambique still relies on physical cash or unreliable mobile networks.</w:t>
      </w:r>
    </w:p>
    <w:p w14:paraId="2C20DDAA" w14:textId="32E0435E" w:rsidR="00314BE3" w:rsidRPr="00314BE3" w:rsidRDefault="00314BE3" w:rsidP="00314BE3">
      <w:pPr>
        <w:shd w:val="clear" w:color="auto" w:fill="FFFFFF"/>
        <w:spacing w:after="240" w:line="240" w:lineRule="auto"/>
        <w:outlineLvl w:val="2"/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</w:pPr>
      <w:r w:rsidRPr="00314BE3">
        <w:rPr>
          <w:rFonts w:eastAsia="Times New Roman" w:cs="Arial"/>
          <w:b/>
          <w:bCs/>
          <w:color w:val="1A1C1E"/>
          <w:kern w:val="0"/>
          <w:sz w:val="27"/>
          <w:szCs w:val="27"/>
          <w14:ligatures w14:val="none"/>
        </w:rPr>
        <w:t>Key Groupings within SADC for Trade &amp; Finance:</w:t>
      </w:r>
    </w:p>
    <w:p w14:paraId="03E49722" w14:textId="77777777" w:rsidR="00314BE3" w:rsidRPr="00314BE3" w:rsidRDefault="00314BE3" w:rsidP="00314BE3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314BE3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The SACU Group (Southern African Customs Union):</w:t>
      </w:r>
      <w:r w:rsidRPr="00314BE3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Botswana, Eswatini, Lesotho, Namibia, and South Africa. This is a deeper integration sub-group with a common external tariff.</w:t>
      </w:r>
    </w:p>
    <w:p w14:paraId="738694B1" w14:textId="77777777" w:rsidR="00314BE3" w:rsidRPr="00314BE3" w:rsidRDefault="00314BE3" w:rsidP="00314BE3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314BE3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The CMA (Common Monetary Area):</w:t>
      </w:r>
      <w:r w:rsidRPr="00314BE3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South Africa, Eswatini, Lesotho, and Namibia. Their currencies are pegged 1:1 to the South African Rand (ZAR), making remittance netting and trade settlement seamless within this group.</w:t>
      </w:r>
    </w:p>
    <w:p w14:paraId="0D0343FD" w14:textId="77777777" w:rsidR="00314BE3" w:rsidRPr="00314BE3" w:rsidRDefault="00314BE3" w:rsidP="00314BE3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314BE3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The Island Nations:</w:t>
      </w:r>
      <w:r w:rsidRPr="00314BE3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Mauritius, Seychelles, Comoros, and Madagascar. Mauritius and Seychelles are the only "High Income" economies in the bloc and serve as major offshore financial hubs for the other 14 members.</w:t>
      </w:r>
    </w:p>
    <w:p w14:paraId="5153F3C9" w14:textId="77777777" w:rsidR="00314BE3" w:rsidRPr="00314BE3" w:rsidRDefault="00314BE3" w:rsidP="00314BE3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314BE3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The "Trilateral" Link:</w:t>
      </w:r>
      <w:r w:rsidRPr="00314BE3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Tanzania is unique as it is a member of both </w:t>
      </w:r>
      <w:r w:rsidRPr="00314BE3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SADC</w:t>
      </w:r>
      <w:r w:rsidRPr="00314BE3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and the </w:t>
      </w:r>
      <w:r w:rsidRPr="00314BE3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East African Community (EAC)</w:t>
      </w:r>
      <w:r w:rsidRPr="00314BE3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, serving as a critical trade bridge between Southern and Eastern Africa.</w:t>
      </w:r>
    </w:p>
    <w:p w14:paraId="3F0CFD3D" w14:textId="77777777" w:rsidR="009328D8" w:rsidRPr="009328D8" w:rsidRDefault="009328D8" w:rsidP="009328D8">
      <w:p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14:ligatures w14:val="none"/>
        </w:rPr>
        <w:t>Sources for SADC Data:</w:t>
      </w:r>
    </w:p>
    <w:p w14:paraId="705BF5FB" w14:textId="77777777" w:rsidR="009328D8" w:rsidRPr="009328D8" w:rsidRDefault="009328D8" w:rsidP="009328D8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SADC Secretariat: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</w:t>
      </w:r>
      <w:r w:rsidRPr="009328D8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Regional Economic Outlook (2025).</w:t>
      </w:r>
    </w:p>
    <w:p w14:paraId="12F8A2CF" w14:textId="77777777" w:rsidR="009328D8" w:rsidRPr="009328D8" w:rsidRDefault="009328D8" w:rsidP="009328D8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South African Reserve Bank (SARB):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</w:t>
      </w:r>
      <w:r w:rsidRPr="009328D8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Financial Stability Review.</w:t>
      </w:r>
    </w:p>
    <w:p w14:paraId="678AA627" w14:textId="77777777" w:rsidR="009328D8" w:rsidRPr="009328D8" w:rsidRDefault="009328D8" w:rsidP="009328D8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World Bank: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</w:t>
      </w:r>
      <w:r w:rsidRPr="009328D8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Migration and Remittances Factbook (SADC Chapter).</w:t>
      </w:r>
    </w:p>
    <w:p w14:paraId="4D1526E5" w14:textId="77777777" w:rsidR="009328D8" w:rsidRPr="009328D8" w:rsidRDefault="009328D8" w:rsidP="009328D8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FinMark Trust: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</w:t>
      </w:r>
      <w:r w:rsidRPr="009328D8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SADC Remittance Price Monitoring Report.</w:t>
      </w:r>
    </w:p>
    <w:p w14:paraId="48FCD474" w14:textId="6DD0E164" w:rsidR="00A03483" w:rsidRPr="009328D8" w:rsidRDefault="009328D8" w:rsidP="009328D8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1A1C1E"/>
          <w:kern w:val="0"/>
          <w:sz w:val="21"/>
          <w:szCs w:val="21"/>
          <w14:ligatures w14:val="none"/>
        </w:rPr>
      </w:pPr>
      <w:r w:rsidRPr="009328D8">
        <w:rPr>
          <w:rFonts w:eastAsia="Times New Roman" w:cs="Arial"/>
          <w:b/>
          <w:bCs/>
          <w:color w:val="1A1C1E"/>
          <w:kern w:val="0"/>
          <w:sz w:val="21"/>
          <w:szCs w:val="21"/>
          <w14:ligatures w14:val="none"/>
        </w:rPr>
        <w:t>Banking Association of South Africa (BASA):</w:t>
      </w:r>
      <w:r w:rsidRPr="009328D8">
        <w:rPr>
          <w:rFonts w:eastAsia="Times New Roman" w:cs="Arial"/>
          <w:color w:val="1A1C1E"/>
          <w:kern w:val="0"/>
          <w:sz w:val="21"/>
          <w:szCs w:val="21"/>
          <w14:ligatures w14:val="none"/>
        </w:rPr>
        <w:t> </w:t>
      </w:r>
      <w:r w:rsidRPr="009328D8">
        <w:rPr>
          <w:rFonts w:eastAsia="Times New Roman" w:cs="Arial"/>
          <w:i/>
          <w:iCs/>
          <w:color w:val="1A1C1E"/>
          <w:kern w:val="0"/>
          <w:sz w:val="21"/>
          <w:szCs w:val="21"/>
          <w14:ligatures w14:val="none"/>
        </w:rPr>
        <w:t>Cross-border Payment Statistics.</w:t>
      </w:r>
    </w:p>
    <w:sectPr w:rsidR="00A03483" w:rsidRPr="00932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6BB1"/>
    <w:multiLevelType w:val="multilevel"/>
    <w:tmpl w:val="7484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4297F"/>
    <w:multiLevelType w:val="multilevel"/>
    <w:tmpl w:val="F7E0D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B556F"/>
    <w:multiLevelType w:val="multilevel"/>
    <w:tmpl w:val="7736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D7449"/>
    <w:multiLevelType w:val="multilevel"/>
    <w:tmpl w:val="BF1A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533AB2"/>
    <w:multiLevelType w:val="multilevel"/>
    <w:tmpl w:val="00E0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F51CCD"/>
    <w:multiLevelType w:val="multilevel"/>
    <w:tmpl w:val="4468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BA2340"/>
    <w:multiLevelType w:val="multilevel"/>
    <w:tmpl w:val="0722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261D9A"/>
    <w:multiLevelType w:val="multilevel"/>
    <w:tmpl w:val="AC58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201F15"/>
    <w:multiLevelType w:val="multilevel"/>
    <w:tmpl w:val="52169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688995">
    <w:abstractNumId w:val="1"/>
  </w:num>
  <w:num w:numId="2" w16cid:durableId="653946198">
    <w:abstractNumId w:val="5"/>
  </w:num>
  <w:num w:numId="3" w16cid:durableId="718356737">
    <w:abstractNumId w:val="6"/>
  </w:num>
  <w:num w:numId="4" w16cid:durableId="93331799">
    <w:abstractNumId w:val="7"/>
  </w:num>
  <w:num w:numId="5" w16cid:durableId="312637342">
    <w:abstractNumId w:val="4"/>
  </w:num>
  <w:num w:numId="6" w16cid:durableId="963317723">
    <w:abstractNumId w:val="2"/>
  </w:num>
  <w:num w:numId="7" w16cid:durableId="1767768977">
    <w:abstractNumId w:val="8"/>
  </w:num>
  <w:num w:numId="8" w16cid:durableId="317806023">
    <w:abstractNumId w:val="3"/>
  </w:num>
  <w:num w:numId="9" w16cid:durableId="103199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GwMLMwBRJmZiYGBko6SsGpxcWZ+XkgBYa1AJ19blIsAAAA"/>
  </w:docVars>
  <w:rsids>
    <w:rsidRoot w:val="0089077D"/>
    <w:rsid w:val="001845E2"/>
    <w:rsid w:val="00187E02"/>
    <w:rsid w:val="00314BE3"/>
    <w:rsid w:val="005020E7"/>
    <w:rsid w:val="0089077D"/>
    <w:rsid w:val="009328D8"/>
    <w:rsid w:val="0098613E"/>
    <w:rsid w:val="00A03483"/>
    <w:rsid w:val="00D474BE"/>
    <w:rsid w:val="00F60928"/>
    <w:rsid w:val="00FE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4A91F"/>
  <w15:chartTrackingRefBased/>
  <w15:docId w15:val="{67174C6C-7B3B-4530-AFDA-AB1CC171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0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7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7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7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7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0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7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7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7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7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7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7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7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7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7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7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7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7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77D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93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932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602</Words>
  <Characters>5375</Characters>
  <Application>Microsoft Office Word</Application>
  <DocSecurity>0</DocSecurity>
  <Lines>145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5</cp:revision>
  <dcterms:created xsi:type="dcterms:W3CDTF">2026-02-06T21:27:00Z</dcterms:created>
  <dcterms:modified xsi:type="dcterms:W3CDTF">2026-02-06T23:06:00Z</dcterms:modified>
</cp:coreProperties>
</file>