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before="0"/>
      </w:pPr>
      <w:r>
        <w:rPr>
          <w:rFonts w:ascii="Arial" w:cs="Arial" w:eastAsia="Arial" w:hAnsi="Arial"/>
          <w:b/>
          <w:bCs/>
          <w:color w:val="0D2340"/>
          <w:sz w:val="56"/>
          <w:szCs w:val="56"/>
        </w:rPr>
        <w:t xml:space="preserve">GSCX GROUP</w:t>
      </w:r>
    </w:p>
    <w:p>
      <w:pPr>
        <w:spacing w:after="80" w:before="0"/>
      </w:pPr>
      <w:r>
        <w:rPr>
          <w:rFonts w:ascii="Arial" w:cs="Arial" w:eastAsia="Arial" w:hAnsi="Arial"/>
          <w:b/>
          <w:bCs/>
          <w:color w:val="1B7A7A"/>
          <w:sz w:val="36"/>
          <w:szCs w:val="36"/>
        </w:rPr>
        <w:t xml:space="preserve">Comparable Company Analysis</w:t>
      </w:r>
    </w:p>
    <w:p>
      <w:pPr>
        <w:spacing w:after="60" w:before="0"/>
      </w:pPr>
      <w:r>
        <w:rPr>
          <w:rFonts w:ascii="Arial" w:cs="Arial" w:eastAsia="Arial" w:hAnsi="Arial"/>
          <w:color w:val="555555"/>
          <w:sz w:val="22"/>
          <w:szCs w:val="22"/>
        </w:rPr>
        <w:t xml:space="preserve">Valuation Framework  |  Series A Capital Raise  |  June 2026</w:t>
      </w:r>
    </w:p>
    <w:p>
      <w:pPr>
        <w:spacing w:after="200" w:before="0"/>
      </w:pPr>
      <w:r>
        <w:rPr>
          <w:rFonts w:ascii="Arial" w:cs="Arial" w:eastAsia="Arial" w:hAnsi="Arial"/>
          <w:i/>
          <w:iCs/>
          <w:color w:val="999999"/>
          <w:sz w:val="20"/>
          <w:szCs w:val="20"/>
        </w:rPr>
        <w:t xml:space="preserve">Confidential — Prepared for Institutional Investor Review</w:t>
      </w:r>
    </w:p>
    <w:p>
      <w:pPr>
        <w:pBdr>
          <w:bottom w:val="single" w:color="1B7A7A" w:sz="4"/>
        </w:pBdr>
        <w:spacing w:after="180" w:before="180"/>
      </w:pPr>
    </w:p>
    <w:p>
      <w:pPr>
        <w:spacing w:after="120" w:before="340"/>
      </w:pPr>
      <w:r>
        <w:rPr>
          <w:rFonts w:ascii="Arial" w:cs="Arial" w:eastAsia="Arial" w:hAnsi="Arial"/>
          <w:b/>
          <w:bCs/>
          <w:color w:val="0D2340"/>
          <w:sz w:val="28"/>
          <w:szCs w:val="28"/>
        </w:rPr>
        <w:t xml:space="preserve">1.  Purpose of This Document</w:t>
      </w:r>
    </w:p>
    <w:p>
      <w:pPr>
        <w:spacing w:after="80" w:before="60"/>
        <w:jc w:val="left"/>
      </w:pPr>
      <w:r>
        <w:rPr>
          <w:rFonts w:ascii="Arial" w:cs="Arial" w:eastAsia="Arial" w:hAnsi="Arial"/>
          <w:b w:val="false"/>
          <w:bCs w:val="false"/>
          <w:i w:val="false"/>
          <w:iCs w:val="false"/>
          <w:color w:val="1A1A1A"/>
          <w:sz w:val="20"/>
          <w:szCs w:val="20"/>
        </w:rPr>
        <w:t xml:space="preserve">GSCX Group is building regulated institutional trade infrastructure. Because the business is pre-revenue and the platform under development spans multiple regulated operating units, traditional revenue-based valuation methods are not the appropriate primary reference.</w:t>
      </w:r>
    </w:p>
    <w:p>
      <w:pPr>
        <w:spacing w:after="60" w:before="60"/>
        <w:jc w:val="left"/>
      </w:pPr>
      <w:r>
        <w:rPr>
          <w:rFonts w:ascii="Arial" w:cs="Arial" w:eastAsia="Arial" w:hAnsi="Arial"/>
          <w:b w:val="false"/>
          <w:bCs w:val="false"/>
          <w:i w:val="false"/>
          <w:iCs w:val="false"/>
          <w:color w:val="1A1A1A"/>
          <w:sz w:val="20"/>
          <w:szCs w:val="20"/>
        </w:rPr>
        <w:t xml:space="preserve">Institutional investors in this category are accustomed to valuing companies based on:</w:t>
      </w:r>
    </w:p>
    <w:p>
      <w:pPr>
        <w:pStyle w:val="ListParagraph"/>
        <w:numPr>
          <w:ilvl w:val="0"/>
          <w:numId w:val="2"/>
        </w:numPr>
        <w:spacing w:after="40" w:before="40"/>
        <w:ind w:left="480" w:hanging="360"/>
      </w:pPr>
      <w:r>
        <w:rPr>
          <w:rFonts w:ascii="Arial" w:cs="Arial" w:eastAsia="Arial" w:hAnsi="Arial"/>
          <w:color w:val="1A1A1A"/>
          <w:sz w:val="20"/>
          <w:szCs w:val="20"/>
        </w:rPr>
        <w:t xml:space="preserve">Regulatory progress and the quality of the licensing pathway</w:t>
      </w:r>
    </w:p>
    <w:p>
      <w:pPr>
        <w:pStyle w:val="ListParagraph"/>
        <w:numPr>
          <w:ilvl w:val="0"/>
          <w:numId w:val="2"/>
        </w:numPr>
        <w:spacing w:after="40" w:before="40"/>
        <w:ind w:left="480" w:hanging="360"/>
      </w:pPr>
      <w:r>
        <w:rPr>
          <w:rFonts w:ascii="Arial" w:cs="Arial" w:eastAsia="Arial" w:hAnsi="Arial"/>
          <w:color w:val="1A1A1A"/>
          <w:sz w:val="20"/>
          <w:szCs w:val="20"/>
        </w:rPr>
        <w:t xml:space="preserve">The credibility and defensibility of the infrastructure being built</w:t>
      </w:r>
    </w:p>
    <w:p>
      <w:pPr>
        <w:pStyle w:val="ListParagraph"/>
        <w:numPr>
          <w:ilvl w:val="0"/>
          <w:numId w:val="2"/>
        </w:numPr>
        <w:spacing w:after="40" w:before="40"/>
        <w:ind w:left="480" w:hanging="360"/>
      </w:pPr>
      <w:r>
        <w:rPr>
          <w:rFonts w:ascii="Arial" w:cs="Arial" w:eastAsia="Arial" w:hAnsi="Arial"/>
          <w:color w:val="1A1A1A"/>
          <w:sz w:val="20"/>
          <w:szCs w:val="20"/>
        </w:rPr>
        <w:t xml:space="preserve">Strategic partnerships and institutional ecosystem positioning</w:t>
      </w:r>
    </w:p>
    <w:p>
      <w:pPr>
        <w:pStyle w:val="ListParagraph"/>
        <w:numPr>
          <w:ilvl w:val="0"/>
          <w:numId w:val="2"/>
        </w:numPr>
        <w:spacing w:after="40" w:before="40"/>
        <w:ind w:left="480" w:hanging="360"/>
      </w:pPr>
      <w:r>
        <w:rPr>
          <w:rFonts w:ascii="Arial" w:cs="Arial" w:eastAsia="Arial" w:hAnsi="Arial"/>
          <w:color w:val="1A1A1A"/>
          <w:sz w:val="20"/>
          <w:szCs w:val="20"/>
        </w:rPr>
        <w:t xml:space="preserve">Commercialisation readiness and milestone progression</w:t>
      </w:r>
    </w:p>
    <w:p>
      <w:pPr>
        <w:pStyle w:val="ListParagraph"/>
        <w:numPr>
          <w:ilvl w:val="0"/>
          <w:numId w:val="2"/>
        </w:numPr>
        <w:spacing w:after="40" w:before="40"/>
        <w:ind w:left="480" w:hanging="360"/>
      </w:pPr>
      <w:r>
        <w:rPr>
          <w:rFonts w:ascii="Arial" w:cs="Arial" w:eastAsia="Arial" w:hAnsi="Arial"/>
          <w:color w:val="1A1A1A"/>
          <w:sz w:val="20"/>
          <w:szCs w:val="20"/>
        </w:rPr>
        <w:t xml:space="preserve">Comparable companies funded at a similar stage of development</w:t>
      </w:r>
    </w:p>
    <w:p>
      <w:pPr>
        <w:spacing w:after="60" w:before="100"/>
        <w:jc w:val="left"/>
      </w:pPr>
      <w:r>
        <w:rPr>
          <w:rFonts w:ascii="Arial" w:cs="Arial" w:eastAsia="Arial" w:hAnsi="Arial"/>
          <w:b w:val="false"/>
          <w:bCs w:val="false"/>
          <w:i w:val="false"/>
          <w:iCs w:val="false"/>
          <w:color w:val="1A1A1A"/>
          <w:sz w:val="20"/>
          <w:szCs w:val="20"/>
        </w:rPr>
        <w:t xml:space="preserve">This document addresses each of those reference points. It identifies the companies most relevant to benchmarking GSCX's proposed £120.5M pre-money Series A valuation, and explains why each is selected.</w:t>
      </w:r>
    </w:p>
    <w:p>
      <w:pPr>
        <w:pBdr>
          <w:bottom w:val="single" w:color="1B7A7A" w:sz="4"/>
        </w:pBdr>
        <w:spacing w:after="180" w:before="180"/>
      </w:pPr>
    </w:p>
    <w:p>
      <w:pPr>
        <w:spacing w:after="120" w:before="340"/>
      </w:pPr>
      <w:r>
        <w:rPr>
          <w:rFonts w:ascii="Arial" w:cs="Arial" w:eastAsia="Arial" w:hAnsi="Arial"/>
          <w:b/>
          <w:bCs/>
          <w:color w:val="0D2340"/>
          <w:sz w:val="28"/>
          <w:szCs w:val="28"/>
        </w:rPr>
        <w:t xml:space="preserve">2.  How We Approach Comparables</w:t>
      </w:r>
    </w:p>
    <w:p>
      <w:pPr>
        <w:spacing w:after="80" w:before="60"/>
        <w:jc w:val="left"/>
      </w:pPr>
      <w:r>
        <w:rPr>
          <w:rFonts w:ascii="Arial" w:cs="Arial" w:eastAsia="Arial" w:hAnsi="Arial"/>
          <w:b w:val="false"/>
          <w:bCs w:val="false"/>
          <w:i w:val="false"/>
          <w:iCs w:val="false"/>
          <w:color w:val="1A1A1A"/>
          <w:sz w:val="20"/>
          <w:szCs w:val="20"/>
        </w:rPr>
        <w:t xml:space="preserve">We separate comparables into two distinct categories:</w:t>
      </w:r>
    </w:p>
    <w:p>
      <w:pPr>
        <w:spacing w:after="80" w:before="200"/>
      </w:pPr>
      <w:r>
        <w:rPr>
          <w:rFonts w:ascii="Arial" w:cs="Arial" w:eastAsia="Arial" w:hAnsi="Arial"/>
          <w:b/>
          <w:bCs/>
          <w:color w:val="1B7A7A"/>
          <w:sz w:val="22"/>
          <w:szCs w:val="22"/>
        </w:rPr>
        <w:t xml:space="preserve">Category One — Valuation Benchmarks</w:t>
      </w:r>
    </w:p>
    <w:p>
      <w:pPr>
        <w:spacing w:after="80" w:before="60"/>
        <w:jc w:val="left"/>
      </w:pPr>
      <w:r>
        <w:rPr>
          <w:rFonts w:ascii="Arial" w:cs="Arial" w:eastAsia="Arial" w:hAnsi="Arial"/>
          <w:b w:val="false"/>
          <w:bCs w:val="false"/>
          <w:i w:val="false"/>
          <w:iCs w:val="false"/>
          <w:color w:val="1A1A1A"/>
          <w:sz w:val="20"/>
          <w:szCs w:val="20"/>
        </w:rPr>
        <w:t xml:space="preserve">These are companies funded at a similar stage of development — pre-revenue, approaching regulatory approval, building institutional infrastructure. Their capital raise terms and implied valuations provide the most direct reference for GSCX.</w:t>
      </w:r>
    </w:p>
    <w:p>
      <w:pPr>
        <w:spacing w:after="80" w:before="200"/>
      </w:pPr>
      <w:r>
        <w:rPr>
          <w:rFonts w:ascii="Arial" w:cs="Arial" w:eastAsia="Arial" w:hAnsi="Arial"/>
          <w:b/>
          <w:bCs/>
          <w:color w:val="1B7A7A"/>
          <w:sz w:val="22"/>
          <w:szCs w:val="22"/>
        </w:rPr>
        <w:t xml:space="preserve">Category Two — Architecture Validation</w:t>
      </w:r>
    </w:p>
    <w:p>
      <w:pPr>
        <w:spacing w:after="80" w:before="60"/>
        <w:jc w:val="left"/>
      </w:pPr>
      <w:r>
        <w:rPr>
          <w:rFonts w:ascii="Arial" w:cs="Arial" w:eastAsia="Arial" w:hAnsi="Arial"/>
          <w:b w:val="false"/>
          <w:bCs w:val="false"/>
          <w:i w:val="false"/>
          <w:iCs w:val="false"/>
          <w:color w:val="1A1A1A"/>
          <w:sz w:val="20"/>
          <w:szCs w:val="20"/>
        </w:rPr>
        <w:t xml:space="preserve">These are established institutions that validate the operating model GSCX is building. They are not valuation benchmarks, but they demonstrate that what GSCX is building has institutional precedent, commercial scale, and enduring strategic value.</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CCCCCC" w:sz="1"/>
              <w:left w:val="single" w:color="CCCCCC" w:sz="1"/>
              <w:bottom w:val="single" w:color="CCCCCC" w:sz="1"/>
              <w:right w:val="single" w:color="CCCCCC" w:sz="1"/>
            </w:tcBorders>
            <w:shd w:fill="E6F4F4" w:val="clear"/>
            <w:tcMar>
              <w:top w:type="dxa" w:w="120"/>
              <w:left w:type="dxa" w:w="200"/>
              <w:bottom w:type="dxa" w:w="120"/>
              <w:right w:type="dxa" w:w="200"/>
            </w:tcMar>
          </w:tcPr>
          <w:p>
            <w:r>
              <w:rPr>
                <w:rFonts w:ascii="Arial" w:cs="Arial" w:eastAsia="Arial" w:hAnsi="Arial"/>
                <w:i/>
                <w:iCs/>
                <w:color w:val="0D2340"/>
                <w:sz w:val="20"/>
                <w:szCs w:val="20"/>
              </w:rPr>
              <w:t xml:space="preserve">Note: Because GSCX combines capabilities that today sit across multiple separate organisations, no single company is a perfect comparable. The analysis below reflects the closest available peers and must be read in aggregate.</w:t>
            </w:r>
          </w:p>
        </w:tc>
      </w:tr>
    </w:tbl>
    <w:p>
      <w:pPr>
        <w:pBdr>
          <w:bottom w:val="single" w:color="1B7A7A" w:sz="4"/>
        </w:pBdr>
        <w:spacing w:after="180" w:before="180"/>
      </w:pPr>
    </w:p>
    <w:p>
      <w:pPr>
        <w:spacing w:after="120" w:before="340"/>
      </w:pPr>
      <w:r>
        <w:rPr>
          <w:rFonts w:ascii="Arial" w:cs="Arial" w:eastAsia="Arial" w:hAnsi="Arial"/>
          <w:b/>
          <w:bCs/>
          <w:color w:val="0D2340"/>
          <w:sz w:val="28"/>
          <w:szCs w:val="28"/>
        </w:rPr>
        <w:t xml:space="preserve">3.  Category One: Valuation Benchmarks</w:t>
      </w:r>
    </w:p>
    <w:p>
      <w:pPr>
        <w:spacing w:after="80" w:before="200"/>
      </w:pPr>
      <w:r>
        <w:rPr>
          <w:rFonts w:ascii="Arial" w:cs="Arial" w:eastAsia="Arial" w:hAnsi="Arial"/>
          <w:b/>
          <w:bCs/>
          <w:color w:val="1B7A7A"/>
          <w:sz w:val="22"/>
          <w:szCs w:val="22"/>
        </w:rPr>
        <w:t xml:space="preserve">GRVT  —  Most Directly Comparable</w:t>
      </w:r>
    </w:p>
    <w:p>
      <w:pPr>
        <w:spacing w:after="60" w:before="60"/>
        <w:jc w:val="left"/>
      </w:pPr>
      <w:r>
        <w:rPr>
          <w:rFonts w:ascii="Arial" w:cs="Arial" w:eastAsia="Arial" w:hAnsi="Arial"/>
          <w:b w:val="false"/>
          <w:bCs w:val="false"/>
          <w:i w:val="false"/>
          <w:iCs w:val="false"/>
          <w:color w:val="1A1A1A"/>
          <w:sz w:val="20"/>
          <w:szCs w:val="20"/>
        </w:rPr>
        <w:t xml:space="preserve">GRVT is a regulated institutional exchange progressing through the same Bermuda regulatory framework as GSCX, with active expansion into ADGM (Abu Dhabi Global Market) and other international jurisdictions.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200"/>
        <w:gridCol w:w="6160"/>
      </w:tblGrid>
      <w:tr>
        <w:trPr>
          <w:tblHeader/>
        </w:trPr>
        <w:tc>
          <w:tcPr>
            <w:tcW w:type="dxa" w:w="3200"/>
            <w:tcBorders>
              <w:top w:val="single" w:color="CCCCCC" w:sz="1"/>
              <w:left w:val="single" w:color="CCCCCC" w:sz="1"/>
              <w:bottom w:val="single" w:color="CCCCCC" w:sz="1"/>
              <w:right w:val="single" w:color="CCCCCC" w:sz="1"/>
            </w:tcBorders>
            <w:shd w:fill="0D2340" w:val="clear"/>
            <w:tcMar>
              <w:top w:type="dxa" w:w="80"/>
              <w:left w:type="dxa" w:w="140"/>
              <w:bottom w:type="dxa" w:w="80"/>
              <w:right w:type="dxa" w:w="140"/>
            </w:tcMar>
          </w:tcPr>
          <w:p>
            <w:r>
              <w:rPr>
                <w:rFonts w:ascii="Arial" w:cs="Arial" w:eastAsia="Arial" w:hAnsi="Arial"/>
                <w:b/>
                <w:bCs/>
                <w:color w:val="FFFFFF"/>
                <w:sz w:val="19"/>
                <w:szCs w:val="19"/>
              </w:rPr>
              <w:t xml:space="preserve">Data Point</w:t>
            </w:r>
          </w:p>
        </w:tc>
        <w:tc>
          <w:tcPr>
            <w:tcW w:type="dxa" w:w="6160"/>
            <w:tcBorders>
              <w:top w:val="single" w:color="CCCCCC" w:sz="1"/>
              <w:left w:val="single" w:color="CCCCCC" w:sz="1"/>
              <w:bottom w:val="single" w:color="CCCCCC" w:sz="1"/>
              <w:right w:val="single" w:color="CCCCCC" w:sz="1"/>
            </w:tcBorders>
            <w:shd w:fill="0D2340" w:val="clear"/>
            <w:tcMar>
              <w:top w:type="dxa" w:w="80"/>
              <w:left w:type="dxa" w:w="140"/>
              <w:bottom w:type="dxa" w:w="80"/>
              <w:right w:type="dxa" w:w="140"/>
            </w:tcMar>
          </w:tcPr>
          <w:p>
            <w:r>
              <w:rPr>
                <w:rFonts w:ascii="Arial" w:cs="Arial" w:eastAsia="Arial" w:hAnsi="Arial"/>
                <w:b/>
                <w:bCs/>
                <w:color w:val="FFFFFF"/>
                <w:sz w:val="19"/>
                <w:szCs w:val="19"/>
              </w:rPr>
              <w:t xml:space="preserve">Detail</w:t>
            </w:r>
          </w:p>
        </w:tc>
      </w:tr>
      <w:tr>
        <w:tc>
          <w:tcPr>
            <w:tcW w:type="dxa" w:w="3200"/>
            <w:tcBorders>
              <w:top w:val="single" w:color="CCCCCC" w:sz="1"/>
              <w:left w:val="single" w:color="CCCCCC" w:sz="1"/>
              <w:bottom w:val="single" w:color="CCCCCC" w:sz="1"/>
              <w:right w:val="single" w:color="CCCCCC" w:sz="1"/>
            </w:tcBorders>
            <w:shd w:fill="E6F4F4" w:val="clear"/>
            <w:tcMar>
              <w:top w:type="dxa" w:w="80"/>
              <w:left w:type="dxa" w:w="140"/>
              <w:bottom w:type="dxa" w:w="80"/>
              <w:right w:type="dxa" w:w="140"/>
            </w:tcMar>
            <w:vAlign w:val="center"/>
          </w:tcPr>
          <w:p>
            <w:r>
              <w:rPr>
                <w:rFonts w:ascii="Arial" w:cs="Arial" w:eastAsia="Arial" w:hAnsi="Arial"/>
                <w:b/>
                <w:bCs/>
                <w:color w:val="1A1A1A"/>
                <w:sz w:val="19"/>
                <w:szCs w:val="19"/>
              </w:rPr>
              <w:t xml:space="preserve">Seed Funding</w:t>
            </w:r>
          </w:p>
        </w:tc>
        <w:tc>
          <w:tcPr>
            <w:tcW w:type="dxa" w:w="6160"/>
            <w:tcBorders>
              <w:top w:val="single" w:color="CCCCCC" w:sz="1"/>
              <w:left w:val="single" w:color="CCCCCC" w:sz="1"/>
              <w:bottom w:val="single" w:color="CCCCCC" w:sz="1"/>
              <w:right w:val="single" w:color="CCCCCC" w:sz="1"/>
            </w:tcBorders>
            <w:shd w:fill="E6F4F4" w:val="clear"/>
            <w:tcMar>
              <w:top w:type="dxa" w:w="80"/>
              <w:left w:type="dxa" w:w="140"/>
              <w:bottom w:type="dxa" w:w="80"/>
              <w:right w:type="dxa" w:w="140"/>
            </w:tcMar>
            <w:vAlign w:val="center"/>
          </w:tcPr>
          <w:p>
            <w:r>
              <w:rPr>
                <w:rFonts w:ascii="Arial" w:cs="Arial" w:eastAsia="Arial" w:hAnsi="Arial"/>
                <w:color w:val="1A1A1A"/>
                <w:sz w:val="19"/>
                <w:szCs w:val="19"/>
              </w:rPr>
              <w:t xml:space="preserve">$7.1M (2023)</w:t>
            </w:r>
          </w:p>
        </w:tc>
      </w:tr>
      <w:tr>
        <w:tc>
          <w:tcPr>
            <w:tcW w:type="dxa" w:w="3200"/>
            <w:tcBorders>
              <w:top w:val="single" w:color="CCCCCC" w:sz="1"/>
              <w:left w:val="single" w:color="CCCCCC" w:sz="1"/>
              <w:bottom w:val="single" w:color="CCCCCC" w:sz="1"/>
              <w:right w:val="single" w:color="CCCCCC" w:sz="1"/>
            </w:tcBorders>
            <w:shd w:fill="F5F5F5" w:val="clear"/>
            <w:tcMar>
              <w:top w:type="dxa" w:w="80"/>
              <w:left w:type="dxa" w:w="140"/>
              <w:bottom w:type="dxa" w:w="80"/>
              <w:right w:type="dxa" w:w="140"/>
            </w:tcMar>
            <w:vAlign w:val="center"/>
          </w:tcPr>
          <w:p>
            <w:r>
              <w:rPr>
                <w:rFonts w:ascii="Arial" w:cs="Arial" w:eastAsia="Arial" w:hAnsi="Arial"/>
                <w:b/>
                <w:bCs/>
                <w:color w:val="1A1A1A"/>
                <w:sz w:val="19"/>
                <w:szCs w:val="19"/>
              </w:rPr>
              <w:t xml:space="preserve">Strategic Investment</w:t>
            </w:r>
          </w:p>
        </w:tc>
        <w:tc>
          <w:tcPr>
            <w:tcW w:type="dxa" w:w="6160"/>
            <w:tcBorders>
              <w:top w:val="single" w:color="CCCCCC" w:sz="1"/>
              <w:left w:val="single" w:color="CCCCCC" w:sz="1"/>
              <w:bottom w:val="single" w:color="CCCCCC" w:sz="1"/>
              <w:right w:val="single" w:color="CCCCCC" w:sz="1"/>
            </w:tcBorders>
            <w:shd w:fill="F5F5F5" w:val="clear"/>
            <w:tcMar>
              <w:top w:type="dxa" w:w="80"/>
              <w:left w:type="dxa" w:w="140"/>
              <w:bottom w:type="dxa" w:w="80"/>
              <w:right w:type="dxa" w:w="140"/>
            </w:tcMar>
            <w:vAlign w:val="center"/>
          </w:tcPr>
          <w:p>
            <w:r>
              <w:rPr>
                <w:rFonts w:ascii="Arial" w:cs="Arial" w:eastAsia="Arial" w:hAnsi="Arial"/>
                <w:color w:val="1A1A1A"/>
                <w:sz w:val="19"/>
                <w:szCs w:val="19"/>
              </w:rPr>
              <w:t xml:space="preserve">$5M from Further Ventures — Abu Dhabi sovereign-backed (January 2025)</w:t>
            </w:r>
          </w:p>
        </w:tc>
      </w:tr>
      <w:tr>
        <w:tc>
          <w:tcPr>
            <w:tcW w:type="dxa" w:w="3200"/>
            <w:tcBorders>
              <w:top w:val="single" w:color="CCCCCC" w:sz="1"/>
              <w:left w:val="single" w:color="CCCCCC" w:sz="1"/>
              <w:bottom w:val="single" w:color="CCCCCC" w:sz="1"/>
              <w:right w:val="single" w:color="CCCCCC" w:sz="1"/>
            </w:tcBorders>
            <w:shd w:fill="E6F4F4" w:val="clear"/>
            <w:tcMar>
              <w:top w:type="dxa" w:w="80"/>
              <w:left w:type="dxa" w:w="140"/>
              <w:bottom w:type="dxa" w:w="80"/>
              <w:right w:type="dxa" w:w="140"/>
            </w:tcMar>
            <w:vAlign w:val="center"/>
          </w:tcPr>
          <w:p>
            <w:r>
              <w:rPr>
                <w:rFonts w:ascii="Arial" w:cs="Arial" w:eastAsia="Arial" w:hAnsi="Arial"/>
                <w:b/>
                <w:bCs/>
                <w:color w:val="1A1A1A"/>
                <w:sz w:val="19"/>
                <w:szCs w:val="19"/>
              </w:rPr>
              <w:t xml:space="preserve">Series A</w:t>
            </w:r>
          </w:p>
        </w:tc>
        <w:tc>
          <w:tcPr>
            <w:tcW w:type="dxa" w:w="6160"/>
            <w:tcBorders>
              <w:top w:val="single" w:color="CCCCCC" w:sz="1"/>
              <w:left w:val="single" w:color="CCCCCC" w:sz="1"/>
              <w:bottom w:val="single" w:color="CCCCCC" w:sz="1"/>
              <w:right w:val="single" w:color="CCCCCC" w:sz="1"/>
            </w:tcBorders>
            <w:shd w:fill="E6F4F4" w:val="clear"/>
            <w:tcMar>
              <w:top w:type="dxa" w:w="80"/>
              <w:left w:type="dxa" w:w="140"/>
              <w:bottom w:type="dxa" w:w="80"/>
              <w:right w:type="dxa" w:w="140"/>
            </w:tcMar>
            <w:vAlign w:val="center"/>
          </w:tcPr>
          <w:p>
            <w:r>
              <w:rPr>
                <w:rFonts w:ascii="Arial" w:cs="Arial" w:eastAsia="Arial" w:hAnsi="Arial"/>
                <w:color w:val="1A1A1A"/>
                <w:sz w:val="19"/>
                <w:szCs w:val="19"/>
              </w:rPr>
              <w:t xml:space="preserve">$19M (September 2025) — co-led by Further Ventures, ZKsync, EigenCloud, 500 Global</w:t>
            </w:r>
          </w:p>
        </w:tc>
      </w:tr>
      <w:tr>
        <w:tc>
          <w:tcPr>
            <w:tcW w:type="dxa" w:w="3200"/>
            <w:tcBorders>
              <w:top w:val="single" w:color="CCCCCC" w:sz="1"/>
              <w:left w:val="single" w:color="CCCCCC" w:sz="1"/>
              <w:bottom w:val="single" w:color="CCCCCC" w:sz="1"/>
              <w:right w:val="single" w:color="CCCCCC" w:sz="1"/>
            </w:tcBorders>
            <w:shd w:fill="F5F5F5" w:val="clear"/>
            <w:tcMar>
              <w:top w:type="dxa" w:w="80"/>
              <w:left w:type="dxa" w:w="140"/>
              <w:bottom w:type="dxa" w:w="80"/>
              <w:right w:type="dxa" w:w="140"/>
            </w:tcMar>
            <w:vAlign w:val="center"/>
          </w:tcPr>
          <w:p>
            <w:r>
              <w:rPr>
                <w:rFonts w:ascii="Arial" w:cs="Arial" w:eastAsia="Arial" w:hAnsi="Arial"/>
                <w:b/>
                <w:bCs/>
                <w:color w:val="1A1A1A"/>
                <w:sz w:val="19"/>
                <w:szCs w:val="19"/>
              </w:rPr>
              <w:t xml:space="preserve">Total Raised</w:t>
            </w:r>
          </w:p>
        </w:tc>
        <w:tc>
          <w:tcPr>
            <w:tcW w:type="dxa" w:w="6160"/>
            <w:tcBorders>
              <w:top w:val="single" w:color="CCCCCC" w:sz="1"/>
              <w:left w:val="single" w:color="CCCCCC" w:sz="1"/>
              <w:bottom w:val="single" w:color="CCCCCC" w:sz="1"/>
              <w:right w:val="single" w:color="CCCCCC" w:sz="1"/>
            </w:tcBorders>
            <w:shd w:fill="F5F5F5" w:val="clear"/>
            <w:tcMar>
              <w:top w:type="dxa" w:w="80"/>
              <w:left w:type="dxa" w:w="140"/>
              <w:bottom w:type="dxa" w:w="80"/>
              <w:right w:type="dxa" w:w="140"/>
            </w:tcMar>
            <w:vAlign w:val="center"/>
          </w:tcPr>
          <w:p>
            <w:r>
              <w:rPr>
                <w:rFonts w:ascii="Arial" w:cs="Arial" w:eastAsia="Arial" w:hAnsi="Arial"/>
                <w:color w:val="1A1A1A"/>
                <w:sz w:val="19"/>
                <w:szCs w:val="19"/>
              </w:rPr>
              <w:t xml:space="preserve">~$34M</w:t>
            </w:r>
          </w:p>
        </w:tc>
      </w:tr>
      <w:tr>
        <w:tc>
          <w:tcPr>
            <w:tcW w:type="dxa" w:w="3200"/>
            <w:tcBorders>
              <w:top w:val="single" w:color="CCCCCC" w:sz="1"/>
              <w:left w:val="single" w:color="CCCCCC" w:sz="1"/>
              <w:bottom w:val="single" w:color="CCCCCC" w:sz="1"/>
              <w:right w:val="single" w:color="CCCCCC" w:sz="1"/>
            </w:tcBorders>
            <w:shd w:fill="E6F4F4" w:val="clear"/>
            <w:tcMar>
              <w:top w:type="dxa" w:w="80"/>
              <w:left w:type="dxa" w:w="140"/>
              <w:bottom w:type="dxa" w:w="80"/>
              <w:right w:type="dxa" w:w="140"/>
            </w:tcMar>
            <w:vAlign w:val="center"/>
          </w:tcPr>
          <w:p>
            <w:r>
              <w:rPr>
                <w:rFonts w:ascii="Arial" w:cs="Arial" w:eastAsia="Arial" w:hAnsi="Arial"/>
                <w:b/>
                <w:bCs/>
                <w:color w:val="1A1A1A"/>
                <w:sz w:val="19"/>
                <w:szCs w:val="19"/>
              </w:rPr>
              <w:t xml:space="preserve">Regulatory Status</w:t>
            </w:r>
          </w:p>
        </w:tc>
        <w:tc>
          <w:tcPr>
            <w:tcW w:type="dxa" w:w="6160"/>
            <w:tcBorders>
              <w:top w:val="single" w:color="CCCCCC" w:sz="1"/>
              <w:left w:val="single" w:color="CCCCCC" w:sz="1"/>
              <w:bottom w:val="single" w:color="CCCCCC" w:sz="1"/>
              <w:right w:val="single" w:color="CCCCCC" w:sz="1"/>
            </w:tcBorders>
            <w:shd w:fill="E6F4F4" w:val="clear"/>
            <w:tcMar>
              <w:top w:type="dxa" w:w="80"/>
              <w:left w:type="dxa" w:w="140"/>
              <w:bottom w:type="dxa" w:w="80"/>
              <w:right w:type="dxa" w:w="140"/>
            </w:tcMar>
            <w:vAlign w:val="center"/>
          </w:tcPr>
          <w:p>
            <w:r>
              <w:rPr>
                <w:rFonts w:ascii="Arial" w:cs="Arial" w:eastAsia="Arial" w:hAnsi="Arial"/>
                <w:color w:val="1A1A1A"/>
                <w:sz w:val="19"/>
                <w:szCs w:val="19"/>
              </w:rPr>
              <w:t xml:space="preserve">Bermuda licensed (Class M). Actively pursuing ADGM, VARA (Dubai), MiCA (EU) licences</w:t>
            </w:r>
          </w:p>
        </w:tc>
      </w:tr>
      <w:tr>
        <w:tc>
          <w:tcPr>
            <w:tcW w:type="dxa" w:w="3200"/>
            <w:tcBorders>
              <w:top w:val="single" w:color="CCCCCC" w:sz="1"/>
              <w:left w:val="single" w:color="CCCCCC" w:sz="1"/>
              <w:bottom w:val="single" w:color="CCCCCC" w:sz="1"/>
              <w:right w:val="single" w:color="CCCCCC" w:sz="1"/>
            </w:tcBorders>
            <w:shd w:fill="F5F5F5" w:val="clear"/>
            <w:tcMar>
              <w:top w:type="dxa" w:w="80"/>
              <w:left w:type="dxa" w:w="140"/>
              <w:bottom w:type="dxa" w:w="80"/>
              <w:right w:type="dxa" w:w="140"/>
            </w:tcMar>
            <w:vAlign w:val="center"/>
          </w:tcPr>
          <w:p>
            <w:r>
              <w:rPr>
                <w:rFonts w:ascii="Arial" w:cs="Arial" w:eastAsia="Arial" w:hAnsi="Arial"/>
                <w:b/>
                <w:bCs/>
                <w:color w:val="1A1A1A"/>
                <w:sz w:val="19"/>
                <w:szCs w:val="19"/>
              </w:rPr>
              <w:t xml:space="preserve">Disclosed Valuation</w:t>
            </w:r>
          </w:p>
        </w:tc>
        <w:tc>
          <w:tcPr>
            <w:tcW w:type="dxa" w:w="6160"/>
            <w:tcBorders>
              <w:top w:val="single" w:color="CCCCCC" w:sz="1"/>
              <w:left w:val="single" w:color="CCCCCC" w:sz="1"/>
              <w:bottom w:val="single" w:color="CCCCCC" w:sz="1"/>
              <w:right w:val="single" w:color="CCCCCC" w:sz="1"/>
            </w:tcBorders>
            <w:shd w:fill="F5F5F5" w:val="clear"/>
            <w:tcMar>
              <w:top w:type="dxa" w:w="80"/>
              <w:left w:type="dxa" w:w="140"/>
              <w:bottom w:type="dxa" w:w="80"/>
              <w:right w:type="dxa" w:w="140"/>
            </w:tcMar>
            <w:vAlign w:val="center"/>
          </w:tcPr>
          <w:p>
            <w:r>
              <w:rPr>
                <w:rFonts w:ascii="Arial" w:cs="Arial" w:eastAsia="Arial" w:hAnsi="Arial"/>
                <w:color w:val="1A1A1A"/>
                <w:sz w:val="19"/>
                <w:szCs w:val="19"/>
              </w:rPr>
              <w:t xml:space="preserve">Not publicly disclosed. Analyst consensus estimates: ~$95M–$100M pre-money at Series A</w:t>
            </w:r>
          </w:p>
        </w:tc>
      </w:tr>
      <w:tr>
        <w:tc>
          <w:tcPr>
            <w:tcW w:type="dxa" w:w="3200"/>
            <w:tcBorders>
              <w:top w:val="single" w:color="CCCCCC" w:sz="1"/>
              <w:left w:val="single" w:color="CCCCCC" w:sz="1"/>
              <w:bottom w:val="single" w:color="CCCCCC" w:sz="1"/>
              <w:right w:val="single" w:color="CCCCCC" w:sz="1"/>
            </w:tcBorders>
            <w:shd w:fill="E6F4F4" w:val="clear"/>
            <w:tcMar>
              <w:top w:type="dxa" w:w="80"/>
              <w:left w:type="dxa" w:w="140"/>
              <w:bottom w:type="dxa" w:w="80"/>
              <w:right w:type="dxa" w:w="140"/>
            </w:tcMar>
            <w:vAlign w:val="center"/>
          </w:tcPr>
          <w:p>
            <w:r>
              <w:rPr>
                <w:rFonts w:ascii="Arial" w:cs="Arial" w:eastAsia="Arial" w:hAnsi="Arial"/>
                <w:b/>
                <w:bCs/>
                <w:color w:val="1A1A1A"/>
                <w:sz w:val="19"/>
                <w:szCs w:val="19"/>
              </w:rPr>
              <w:t xml:space="preserve">Source</w:t>
            </w:r>
          </w:p>
        </w:tc>
        <w:tc>
          <w:tcPr>
            <w:tcW w:type="dxa" w:w="6160"/>
            <w:tcBorders>
              <w:top w:val="single" w:color="CCCCCC" w:sz="1"/>
              <w:left w:val="single" w:color="CCCCCC" w:sz="1"/>
              <w:bottom w:val="single" w:color="CCCCCC" w:sz="1"/>
              <w:right w:val="single" w:color="CCCCCC" w:sz="1"/>
            </w:tcBorders>
            <w:shd w:fill="E6F4F4" w:val="clear"/>
            <w:tcMar>
              <w:top w:type="dxa" w:w="80"/>
              <w:left w:type="dxa" w:w="140"/>
              <w:bottom w:type="dxa" w:w="80"/>
              <w:right w:type="dxa" w:w="140"/>
            </w:tcMar>
            <w:vAlign w:val="center"/>
          </w:tcPr>
          <w:p>
            <w:r>
              <w:rPr>
                <w:rFonts w:ascii="Arial" w:cs="Arial" w:eastAsia="Arial" w:hAnsi="Arial"/>
                <w:color w:val="1A1A1A"/>
                <w:sz w:val="19"/>
                <w:szCs w:val="19"/>
              </w:rPr>
              <w:t xml:space="preserve">CoinDesk, The Block, Globe Newswire, ION Analytics (September 2025)</w:t>
            </w:r>
          </w:p>
        </w:tc>
      </w:tr>
    </w:tbl>
    <w:p>
      <w:pPr>
        <w:spacing w:after="80" w:before="100"/>
        <w:jc w:val="left"/>
      </w:pPr>
      <w:r>
        <w:rPr>
          <w:rFonts w:ascii="Arial" w:cs="Arial" w:eastAsia="Arial" w:hAnsi="Arial"/>
          <w:b w:val="false"/>
          <w:bCs w:val="false"/>
          <w:i w:val="false"/>
          <w:iCs w:val="false"/>
          <w:color w:val="1A1A1A"/>
          <w:sz w:val="20"/>
          <w:szCs w:val="20"/>
        </w:rPr>
        <w:t xml:space="preserve">Why it matters for GSCX: GRVT is the most current evidence that institutional investors — including Further Ventures, who are also in direct discussions with GSCX — will fund regulated exchange infrastructure at the pre-revenue stage, at valuations in the £75M–£100M range, when the regulatory pathway, institutional governance, and commercial architecture are credible. GSCX's broader multi-hub architecture, trade finance integration, and captive insurance component represent additional dimensions of value beyond GRVT's model.</w:t>
      </w:r>
    </w:p>
    <w:p>
      <w:pPr>
        <w:spacing w:after="80" w:before="200"/>
      </w:pPr>
      <w:r>
        <w:rPr>
          <w:rFonts w:ascii="Arial" w:cs="Arial" w:eastAsia="Arial" w:hAnsi="Arial"/>
          <w:b/>
          <w:bCs/>
          <w:color w:val="1B7A7A"/>
          <w:sz w:val="22"/>
          <w:szCs w:val="22"/>
        </w:rPr>
        <w:t xml:space="preserve">Archax  —  Most Comparable Institutional Infrastructure Build</w:t>
      </w:r>
    </w:p>
    <w:p>
      <w:pPr>
        <w:spacing w:after="60" w:before="60"/>
        <w:jc w:val="left"/>
      </w:pPr>
      <w:r>
        <w:rPr>
          <w:rFonts w:ascii="Arial" w:cs="Arial" w:eastAsia="Arial" w:hAnsi="Arial"/>
          <w:b w:val="false"/>
          <w:bCs w:val="false"/>
          <w:i w:val="false"/>
          <w:iCs w:val="false"/>
          <w:color w:val="1A1A1A"/>
          <w:sz w:val="20"/>
          <w:szCs w:val="20"/>
        </w:rPr>
        <w:t xml:space="preserve">Archax is the UK's first and only FCA-regulated digital securities exchange, broker, and custodian. It provides the closest structural parallel to GSCX's integrated exchange, custody, and tokenisation model.</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200"/>
        <w:gridCol w:w="6160"/>
      </w:tblGrid>
      <w:tr>
        <w:trPr>
          <w:tblHeader/>
        </w:trPr>
        <w:tc>
          <w:tcPr>
            <w:tcW w:type="dxa" w:w="3200"/>
            <w:tcBorders>
              <w:top w:val="single" w:color="CCCCCC" w:sz="1"/>
              <w:left w:val="single" w:color="CCCCCC" w:sz="1"/>
              <w:bottom w:val="single" w:color="CCCCCC" w:sz="1"/>
              <w:right w:val="single" w:color="CCCCCC" w:sz="1"/>
            </w:tcBorders>
            <w:shd w:fill="0D2340" w:val="clear"/>
            <w:tcMar>
              <w:top w:type="dxa" w:w="80"/>
              <w:left w:type="dxa" w:w="140"/>
              <w:bottom w:type="dxa" w:w="80"/>
              <w:right w:type="dxa" w:w="140"/>
            </w:tcMar>
          </w:tcPr>
          <w:p>
            <w:r>
              <w:rPr>
                <w:rFonts w:ascii="Arial" w:cs="Arial" w:eastAsia="Arial" w:hAnsi="Arial"/>
                <w:b/>
                <w:bCs/>
                <w:color w:val="FFFFFF"/>
                <w:sz w:val="19"/>
                <w:szCs w:val="19"/>
              </w:rPr>
              <w:t xml:space="preserve">Data Point</w:t>
            </w:r>
          </w:p>
        </w:tc>
        <w:tc>
          <w:tcPr>
            <w:tcW w:type="dxa" w:w="6160"/>
            <w:tcBorders>
              <w:top w:val="single" w:color="CCCCCC" w:sz="1"/>
              <w:left w:val="single" w:color="CCCCCC" w:sz="1"/>
              <w:bottom w:val="single" w:color="CCCCCC" w:sz="1"/>
              <w:right w:val="single" w:color="CCCCCC" w:sz="1"/>
            </w:tcBorders>
            <w:shd w:fill="0D2340" w:val="clear"/>
            <w:tcMar>
              <w:top w:type="dxa" w:w="80"/>
              <w:left w:type="dxa" w:w="140"/>
              <w:bottom w:type="dxa" w:w="80"/>
              <w:right w:type="dxa" w:w="140"/>
            </w:tcMar>
          </w:tcPr>
          <w:p>
            <w:r>
              <w:rPr>
                <w:rFonts w:ascii="Arial" w:cs="Arial" w:eastAsia="Arial" w:hAnsi="Arial"/>
                <w:b/>
                <w:bCs/>
                <w:color w:val="FFFFFF"/>
                <w:sz w:val="19"/>
                <w:szCs w:val="19"/>
              </w:rPr>
              <w:t xml:space="preserve">Detail</w:t>
            </w:r>
          </w:p>
        </w:tc>
      </w:tr>
      <w:tr>
        <w:tc>
          <w:tcPr>
            <w:tcW w:type="dxa" w:w="3200"/>
            <w:tcBorders>
              <w:top w:val="single" w:color="CCCCCC" w:sz="1"/>
              <w:left w:val="single" w:color="CCCCCC" w:sz="1"/>
              <w:bottom w:val="single" w:color="CCCCCC" w:sz="1"/>
              <w:right w:val="single" w:color="CCCCCC" w:sz="1"/>
            </w:tcBorders>
            <w:shd w:fill="E6F4F4" w:val="clear"/>
            <w:tcMar>
              <w:top w:type="dxa" w:w="80"/>
              <w:left w:type="dxa" w:w="140"/>
              <w:bottom w:type="dxa" w:w="80"/>
              <w:right w:type="dxa" w:w="140"/>
            </w:tcMar>
            <w:vAlign w:val="center"/>
          </w:tcPr>
          <w:p>
            <w:r>
              <w:rPr>
                <w:rFonts w:ascii="Arial" w:cs="Arial" w:eastAsia="Arial" w:hAnsi="Arial"/>
                <w:b/>
                <w:bCs/>
                <w:color w:val="1A1A1A"/>
                <w:sz w:val="19"/>
                <w:szCs w:val="19"/>
              </w:rPr>
              <w:t xml:space="preserve">Seed Round</w:t>
            </w:r>
          </w:p>
        </w:tc>
        <w:tc>
          <w:tcPr>
            <w:tcW w:type="dxa" w:w="6160"/>
            <w:tcBorders>
              <w:top w:val="single" w:color="CCCCCC" w:sz="1"/>
              <w:left w:val="single" w:color="CCCCCC" w:sz="1"/>
              <w:bottom w:val="single" w:color="CCCCCC" w:sz="1"/>
              <w:right w:val="single" w:color="CCCCCC" w:sz="1"/>
            </w:tcBorders>
            <w:shd w:fill="E6F4F4" w:val="clear"/>
            <w:tcMar>
              <w:top w:type="dxa" w:w="80"/>
              <w:left w:type="dxa" w:w="140"/>
              <w:bottom w:type="dxa" w:w="80"/>
              <w:right w:type="dxa" w:w="140"/>
            </w:tcMar>
            <w:vAlign w:val="center"/>
          </w:tcPr>
          <w:p>
            <w:r>
              <w:rPr>
                <w:rFonts w:ascii="Arial" w:cs="Arial" w:eastAsia="Arial" w:hAnsi="Arial"/>
                <w:color w:val="1A1A1A"/>
                <w:sz w:val="19"/>
                <w:szCs w:val="19"/>
              </w:rPr>
              <w:t xml:space="preserve">$8M (October 2020)</w:t>
            </w:r>
          </w:p>
        </w:tc>
      </w:tr>
      <w:tr>
        <w:tc>
          <w:tcPr>
            <w:tcW w:type="dxa" w:w="3200"/>
            <w:tcBorders>
              <w:top w:val="single" w:color="CCCCCC" w:sz="1"/>
              <w:left w:val="single" w:color="CCCCCC" w:sz="1"/>
              <w:bottom w:val="single" w:color="CCCCCC" w:sz="1"/>
              <w:right w:val="single" w:color="CCCCCC" w:sz="1"/>
            </w:tcBorders>
            <w:shd w:fill="F5F5F5" w:val="clear"/>
            <w:tcMar>
              <w:top w:type="dxa" w:w="80"/>
              <w:left w:type="dxa" w:w="140"/>
              <w:bottom w:type="dxa" w:w="80"/>
              <w:right w:type="dxa" w:w="140"/>
            </w:tcMar>
            <w:vAlign w:val="center"/>
          </w:tcPr>
          <w:p>
            <w:r>
              <w:rPr>
                <w:rFonts w:ascii="Arial" w:cs="Arial" w:eastAsia="Arial" w:hAnsi="Arial"/>
                <w:b/>
                <w:bCs/>
                <w:color w:val="1A1A1A"/>
                <w:sz w:val="19"/>
                <w:szCs w:val="19"/>
              </w:rPr>
              <w:t xml:space="preserve">Series A</w:t>
            </w:r>
          </w:p>
        </w:tc>
        <w:tc>
          <w:tcPr>
            <w:tcW w:type="dxa" w:w="6160"/>
            <w:tcBorders>
              <w:top w:val="single" w:color="CCCCCC" w:sz="1"/>
              <w:left w:val="single" w:color="CCCCCC" w:sz="1"/>
              <w:bottom w:val="single" w:color="CCCCCC" w:sz="1"/>
              <w:right w:val="single" w:color="CCCCCC" w:sz="1"/>
            </w:tcBorders>
            <w:shd w:fill="F5F5F5" w:val="clear"/>
            <w:tcMar>
              <w:top w:type="dxa" w:w="80"/>
              <w:left w:type="dxa" w:w="140"/>
              <w:bottom w:type="dxa" w:w="80"/>
              <w:right w:type="dxa" w:w="140"/>
            </w:tcMar>
            <w:vAlign w:val="center"/>
          </w:tcPr>
          <w:p>
            <w:r>
              <w:rPr>
                <w:rFonts w:ascii="Arial" w:cs="Arial" w:eastAsia="Arial" w:hAnsi="Arial"/>
                <w:color w:val="1A1A1A"/>
                <w:sz w:val="19"/>
                <w:szCs w:val="19"/>
              </w:rPr>
              <w:t xml:space="preserve">$28.5M (November 2022) — led by abrdn (£464B AUM fund manager)</w:t>
            </w:r>
          </w:p>
        </w:tc>
      </w:tr>
      <w:tr>
        <w:tc>
          <w:tcPr>
            <w:tcW w:type="dxa" w:w="3200"/>
            <w:tcBorders>
              <w:top w:val="single" w:color="CCCCCC" w:sz="1"/>
              <w:left w:val="single" w:color="CCCCCC" w:sz="1"/>
              <w:bottom w:val="single" w:color="CCCCCC" w:sz="1"/>
              <w:right w:val="single" w:color="CCCCCC" w:sz="1"/>
            </w:tcBorders>
            <w:shd w:fill="E6F4F4" w:val="clear"/>
            <w:tcMar>
              <w:top w:type="dxa" w:w="80"/>
              <w:left w:type="dxa" w:w="140"/>
              <w:bottom w:type="dxa" w:w="80"/>
              <w:right w:type="dxa" w:w="140"/>
            </w:tcMar>
            <w:vAlign w:val="center"/>
          </w:tcPr>
          <w:p>
            <w:r>
              <w:rPr>
                <w:rFonts w:ascii="Arial" w:cs="Arial" w:eastAsia="Arial" w:hAnsi="Arial"/>
                <w:b/>
                <w:bCs/>
                <w:color w:val="1A1A1A"/>
                <w:sz w:val="19"/>
                <w:szCs w:val="19"/>
              </w:rPr>
              <w:t xml:space="preserve">Total Raised</w:t>
            </w:r>
          </w:p>
        </w:tc>
        <w:tc>
          <w:tcPr>
            <w:tcW w:type="dxa" w:w="6160"/>
            <w:tcBorders>
              <w:top w:val="single" w:color="CCCCCC" w:sz="1"/>
              <w:left w:val="single" w:color="CCCCCC" w:sz="1"/>
              <w:bottom w:val="single" w:color="CCCCCC" w:sz="1"/>
              <w:right w:val="single" w:color="CCCCCC" w:sz="1"/>
            </w:tcBorders>
            <w:shd w:fill="E6F4F4" w:val="clear"/>
            <w:tcMar>
              <w:top w:type="dxa" w:w="80"/>
              <w:left w:type="dxa" w:w="140"/>
              <w:bottom w:type="dxa" w:w="80"/>
              <w:right w:type="dxa" w:w="140"/>
            </w:tcMar>
            <w:vAlign w:val="center"/>
          </w:tcPr>
          <w:p>
            <w:r>
              <w:rPr>
                <w:rFonts w:ascii="Arial" w:cs="Arial" w:eastAsia="Arial" w:hAnsi="Arial"/>
                <w:color w:val="1A1A1A"/>
                <w:sz w:val="19"/>
                <w:szCs w:val="19"/>
              </w:rPr>
              <w:t xml:space="preserve">~$65.6M across all rounds (including post-Series A activity)</w:t>
            </w:r>
          </w:p>
        </w:tc>
      </w:tr>
      <w:tr>
        <w:tc>
          <w:tcPr>
            <w:tcW w:type="dxa" w:w="3200"/>
            <w:tcBorders>
              <w:top w:val="single" w:color="CCCCCC" w:sz="1"/>
              <w:left w:val="single" w:color="CCCCCC" w:sz="1"/>
              <w:bottom w:val="single" w:color="CCCCCC" w:sz="1"/>
              <w:right w:val="single" w:color="CCCCCC" w:sz="1"/>
            </w:tcBorders>
            <w:shd w:fill="F5F5F5" w:val="clear"/>
            <w:tcMar>
              <w:top w:type="dxa" w:w="80"/>
              <w:left w:type="dxa" w:w="140"/>
              <w:bottom w:type="dxa" w:w="80"/>
              <w:right w:type="dxa" w:w="140"/>
            </w:tcMar>
            <w:vAlign w:val="center"/>
          </w:tcPr>
          <w:p>
            <w:r>
              <w:rPr>
                <w:rFonts w:ascii="Arial" w:cs="Arial" w:eastAsia="Arial" w:hAnsi="Arial"/>
                <w:b/>
                <w:bCs/>
                <w:color w:val="1A1A1A"/>
                <w:sz w:val="19"/>
                <w:szCs w:val="19"/>
              </w:rPr>
              <w:t xml:space="preserve">Confirmed Valuation at Series A</w:t>
            </w:r>
          </w:p>
        </w:tc>
        <w:tc>
          <w:tcPr>
            <w:tcW w:type="dxa" w:w="6160"/>
            <w:tcBorders>
              <w:top w:val="single" w:color="CCCCCC" w:sz="1"/>
              <w:left w:val="single" w:color="CCCCCC" w:sz="1"/>
              <w:bottom w:val="single" w:color="CCCCCC" w:sz="1"/>
              <w:right w:val="single" w:color="CCCCCC" w:sz="1"/>
            </w:tcBorders>
            <w:shd w:fill="F5F5F5" w:val="clear"/>
            <w:tcMar>
              <w:top w:type="dxa" w:w="80"/>
              <w:left w:type="dxa" w:w="140"/>
              <w:bottom w:type="dxa" w:w="80"/>
              <w:right w:type="dxa" w:w="140"/>
            </w:tcMar>
            <w:vAlign w:val="center"/>
          </w:tcPr>
          <w:p>
            <w:r>
              <w:rPr>
                <w:rFonts w:ascii="Arial" w:cs="Arial" w:eastAsia="Arial" w:hAnsi="Arial"/>
                <w:color w:val="1A1A1A"/>
                <w:sz w:val="19"/>
                <w:szCs w:val="19"/>
              </w:rPr>
              <w:t xml:space="preserve">£150M (~$170M) — verified via UK regulatory filings (Companies House)</w:t>
            </w:r>
          </w:p>
        </w:tc>
      </w:tr>
      <w:tr>
        <w:tc>
          <w:tcPr>
            <w:tcW w:type="dxa" w:w="3200"/>
            <w:tcBorders>
              <w:top w:val="single" w:color="CCCCCC" w:sz="1"/>
              <w:left w:val="single" w:color="CCCCCC" w:sz="1"/>
              <w:bottom w:val="single" w:color="CCCCCC" w:sz="1"/>
              <w:right w:val="single" w:color="CCCCCC" w:sz="1"/>
            </w:tcBorders>
            <w:shd w:fill="E6F4F4" w:val="clear"/>
            <w:tcMar>
              <w:top w:type="dxa" w:w="80"/>
              <w:left w:type="dxa" w:w="140"/>
              <w:bottom w:type="dxa" w:w="80"/>
              <w:right w:type="dxa" w:w="140"/>
            </w:tcMar>
            <w:vAlign w:val="center"/>
          </w:tcPr>
          <w:p>
            <w:r>
              <w:rPr>
                <w:rFonts w:ascii="Arial" w:cs="Arial" w:eastAsia="Arial" w:hAnsi="Arial"/>
                <w:b/>
                <w:bCs/>
                <w:color w:val="1A1A1A"/>
                <w:sz w:val="19"/>
                <w:szCs w:val="19"/>
              </w:rPr>
              <w:t xml:space="preserve">Current Estimated Valuation</w:t>
            </w:r>
          </w:p>
        </w:tc>
        <w:tc>
          <w:tcPr>
            <w:tcW w:type="dxa" w:w="6160"/>
            <w:tcBorders>
              <w:top w:val="single" w:color="CCCCCC" w:sz="1"/>
              <w:left w:val="single" w:color="CCCCCC" w:sz="1"/>
              <w:bottom w:val="single" w:color="CCCCCC" w:sz="1"/>
              <w:right w:val="single" w:color="CCCCCC" w:sz="1"/>
            </w:tcBorders>
            <w:shd w:fill="E6F4F4" w:val="clear"/>
            <w:tcMar>
              <w:top w:type="dxa" w:w="80"/>
              <w:left w:type="dxa" w:w="140"/>
              <w:bottom w:type="dxa" w:w="80"/>
              <w:right w:type="dxa" w:w="140"/>
            </w:tcMar>
            <w:vAlign w:val="center"/>
          </w:tcPr>
          <w:p>
            <w:r>
              <w:rPr>
                <w:rFonts w:ascii="Arial" w:cs="Arial" w:eastAsia="Arial" w:hAnsi="Arial"/>
                <w:color w:val="1A1A1A"/>
                <w:sz w:val="19"/>
                <w:szCs w:val="19"/>
              </w:rPr>
              <w:t xml:space="preserve">~$202M (Premier Alts secondary market data, 2026)</w:t>
            </w:r>
          </w:p>
        </w:tc>
      </w:tr>
      <w:tr>
        <w:tc>
          <w:tcPr>
            <w:tcW w:type="dxa" w:w="3200"/>
            <w:tcBorders>
              <w:top w:val="single" w:color="CCCCCC" w:sz="1"/>
              <w:left w:val="single" w:color="CCCCCC" w:sz="1"/>
              <w:bottom w:val="single" w:color="CCCCCC" w:sz="1"/>
              <w:right w:val="single" w:color="CCCCCC" w:sz="1"/>
            </w:tcBorders>
            <w:shd w:fill="F5F5F5" w:val="clear"/>
            <w:tcMar>
              <w:top w:type="dxa" w:w="80"/>
              <w:left w:type="dxa" w:w="140"/>
              <w:bottom w:type="dxa" w:w="80"/>
              <w:right w:type="dxa" w:w="140"/>
            </w:tcMar>
            <w:vAlign w:val="center"/>
          </w:tcPr>
          <w:p>
            <w:r>
              <w:rPr>
                <w:rFonts w:ascii="Arial" w:cs="Arial" w:eastAsia="Arial" w:hAnsi="Arial"/>
                <w:b/>
                <w:bCs/>
                <w:color w:val="1A1A1A"/>
                <w:sz w:val="19"/>
                <w:szCs w:val="19"/>
              </w:rPr>
              <w:t xml:space="preserve">Revenue (2024)</w:t>
            </w:r>
          </w:p>
        </w:tc>
        <w:tc>
          <w:tcPr>
            <w:tcW w:type="dxa" w:w="6160"/>
            <w:tcBorders>
              <w:top w:val="single" w:color="CCCCCC" w:sz="1"/>
              <w:left w:val="single" w:color="CCCCCC" w:sz="1"/>
              <w:bottom w:val="single" w:color="CCCCCC" w:sz="1"/>
              <w:right w:val="single" w:color="CCCCCC" w:sz="1"/>
            </w:tcBorders>
            <w:shd w:fill="F5F5F5" w:val="clear"/>
            <w:tcMar>
              <w:top w:type="dxa" w:w="80"/>
              <w:left w:type="dxa" w:w="140"/>
              <w:bottom w:type="dxa" w:w="80"/>
              <w:right w:type="dxa" w:w="140"/>
            </w:tcMar>
            <w:vAlign w:val="center"/>
          </w:tcPr>
          <w:p>
            <w:r>
              <w:rPr>
                <w:rFonts w:ascii="Arial" w:cs="Arial" w:eastAsia="Arial" w:hAnsi="Arial"/>
                <w:color w:val="1A1A1A"/>
                <w:sz w:val="19"/>
                <w:szCs w:val="19"/>
              </w:rPr>
              <w:t xml:space="preserve">£6.05M annual revenue — now an operating business</w:t>
            </w:r>
          </w:p>
        </w:tc>
      </w:tr>
      <w:tr>
        <w:tc>
          <w:tcPr>
            <w:tcW w:type="dxa" w:w="3200"/>
            <w:tcBorders>
              <w:top w:val="single" w:color="CCCCCC" w:sz="1"/>
              <w:left w:val="single" w:color="CCCCCC" w:sz="1"/>
              <w:bottom w:val="single" w:color="CCCCCC" w:sz="1"/>
              <w:right w:val="single" w:color="CCCCCC" w:sz="1"/>
            </w:tcBorders>
            <w:shd w:fill="E6F4F4" w:val="clear"/>
            <w:tcMar>
              <w:top w:type="dxa" w:w="80"/>
              <w:left w:type="dxa" w:w="140"/>
              <w:bottom w:type="dxa" w:w="80"/>
              <w:right w:type="dxa" w:w="140"/>
            </w:tcMar>
            <w:vAlign w:val="center"/>
          </w:tcPr>
          <w:p>
            <w:r>
              <w:rPr>
                <w:rFonts w:ascii="Arial" w:cs="Arial" w:eastAsia="Arial" w:hAnsi="Arial"/>
                <w:b/>
                <w:bCs/>
                <w:color w:val="1A1A1A"/>
                <w:sz w:val="19"/>
                <w:szCs w:val="19"/>
              </w:rPr>
              <w:t xml:space="preserve">Infrastructure</w:t>
            </w:r>
          </w:p>
        </w:tc>
        <w:tc>
          <w:tcPr>
            <w:tcW w:type="dxa" w:w="6160"/>
            <w:tcBorders>
              <w:top w:val="single" w:color="CCCCCC" w:sz="1"/>
              <w:left w:val="single" w:color="CCCCCC" w:sz="1"/>
              <w:bottom w:val="single" w:color="CCCCCC" w:sz="1"/>
              <w:right w:val="single" w:color="CCCCCC" w:sz="1"/>
            </w:tcBorders>
            <w:shd w:fill="E6F4F4" w:val="clear"/>
            <w:tcMar>
              <w:top w:type="dxa" w:w="80"/>
              <w:left w:type="dxa" w:w="140"/>
              <w:bottom w:type="dxa" w:w="80"/>
              <w:right w:type="dxa" w:w="140"/>
            </w:tcMar>
            <w:vAlign w:val="center"/>
          </w:tcPr>
          <w:p>
            <w:r>
              <w:rPr>
                <w:rFonts w:ascii="Arial" w:cs="Arial" w:eastAsia="Arial" w:hAnsi="Arial"/>
                <w:color w:val="1A1A1A"/>
                <w:sz w:val="19"/>
                <w:szCs w:val="19"/>
              </w:rPr>
              <w:t xml:space="preserve">IBM Cloud partnership for custody. FCA-regulated MTF, custodian, broker</w:t>
            </w:r>
          </w:p>
        </w:tc>
      </w:tr>
      <w:tr>
        <w:tc>
          <w:tcPr>
            <w:tcW w:type="dxa" w:w="3200"/>
            <w:tcBorders>
              <w:top w:val="single" w:color="CCCCCC" w:sz="1"/>
              <w:left w:val="single" w:color="CCCCCC" w:sz="1"/>
              <w:bottom w:val="single" w:color="CCCCCC" w:sz="1"/>
              <w:right w:val="single" w:color="CCCCCC" w:sz="1"/>
            </w:tcBorders>
            <w:shd w:fill="F5F5F5" w:val="clear"/>
            <w:tcMar>
              <w:top w:type="dxa" w:w="80"/>
              <w:left w:type="dxa" w:w="140"/>
              <w:bottom w:type="dxa" w:w="80"/>
              <w:right w:type="dxa" w:w="140"/>
            </w:tcMar>
            <w:vAlign w:val="center"/>
          </w:tcPr>
          <w:p>
            <w:r>
              <w:rPr>
                <w:rFonts w:ascii="Arial" w:cs="Arial" w:eastAsia="Arial" w:hAnsi="Arial"/>
                <w:b/>
                <w:bCs/>
                <w:color w:val="1A1A1A"/>
                <w:sz w:val="19"/>
                <w:szCs w:val="19"/>
              </w:rPr>
              <w:t xml:space="preserve">Source</w:t>
            </w:r>
          </w:p>
        </w:tc>
        <w:tc>
          <w:tcPr>
            <w:tcW w:type="dxa" w:w="6160"/>
            <w:tcBorders>
              <w:top w:val="single" w:color="CCCCCC" w:sz="1"/>
              <w:left w:val="single" w:color="CCCCCC" w:sz="1"/>
              <w:bottom w:val="single" w:color="CCCCCC" w:sz="1"/>
              <w:right w:val="single" w:color="CCCCCC" w:sz="1"/>
            </w:tcBorders>
            <w:shd w:fill="F5F5F5" w:val="clear"/>
            <w:tcMar>
              <w:top w:type="dxa" w:w="80"/>
              <w:left w:type="dxa" w:w="140"/>
              <w:bottom w:type="dxa" w:w="80"/>
              <w:right w:type="dxa" w:w="140"/>
            </w:tcMar>
            <w:vAlign w:val="center"/>
          </w:tcPr>
          <w:p>
            <w:r>
              <w:rPr>
                <w:rFonts w:ascii="Arial" w:cs="Arial" w:eastAsia="Arial" w:hAnsi="Arial"/>
                <w:color w:val="1A1A1A"/>
                <w:sz w:val="19"/>
                <w:szCs w:val="19"/>
              </w:rPr>
              <w:t xml:space="preserve">Ledger Insights, Wikipedia, PitchBook, Premier Alts (2022–2026)</w:t>
            </w:r>
          </w:p>
        </w:tc>
      </w:tr>
    </w:tbl>
    <w:p>
      <w:pPr>
        <w:spacing w:after="80" w:before="100"/>
        <w:jc w:val="left"/>
      </w:pPr>
      <w:r>
        <w:rPr>
          <w:rFonts w:ascii="Arial" w:cs="Arial" w:eastAsia="Arial" w:hAnsi="Arial"/>
          <w:b w:val="false"/>
          <w:bCs w:val="false"/>
          <w:i w:val="false"/>
          <w:iCs w:val="false"/>
          <w:color w:val="1A1A1A"/>
          <w:sz w:val="20"/>
          <w:szCs w:val="20"/>
        </w:rPr>
        <w:t xml:space="preserve">Why it matters for GSCX: Archax was valued at £150M (~$170M) at its Series A before generating meaningful revenue, on the basis of its FCA regulatory licences, IBM infrastructure partnership, and institutional client positioning. GSCX's IBM LinuxONE deployment is directly analogous to Archax's IBM Cloud custody integration — the same infrastructure moat that justified Archax's institutional valuation.</w:t>
      </w:r>
    </w:p>
    <w:p>
      <w:pPr>
        <w:spacing w:after="80" w:before="200"/>
      </w:pPr>
      <w:r>
        <w:rPr>
          <w:rFonts w:ascii="Arial" w:cs="Arial" w:eastAsia="Arial" w:hAnsi="Arial"/>
          <w:b/>
          <w:bCs/>
          <w:color w:val="1B7A7A"/>
          <w:sz w:val="22"/>
          <w:szCs w:val="22"/>
        </w:rPr>
        <w:t xml:space="preserve">GMEX Group  —  Exchange Technology &amp; Multi-Jurisdictional Infrastructure</w:t>
      </w:r>
    </w:p>
    <w:p>
      <w:pPr>
        <w:spacing w:after="60" w:before="60"/>
        <w:jc w:val="left"/>
      </w:pPr>
      <w:r>
        <w:rPr>
          <w:rFonts w:ascii="Arial" w:cs="Arial" w:eastAsia="Arial" w:hAnsi="Arial"/>
          <w:b w:val="false"/>
          <w:bCs w:val="false"/>
          <w:i w:val="false"/>
          <w:iCs w:val="false"/>
          <w:color w:val="1A1A1A"/>
          <w:sz w:val="20"/>
          <w:szCs w:val="20"/>
        </w:rPr>
        <w:t xml:space="preserve">GMEX Group is a global provider of multi-asset exchange trading and post-trade infrastructure technology, with deployments across 20+ markets and strategic investors including Deutsche Börse and Société Générale.</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200"/>
        <w:gridCol w:w="6160"/>
      </w:tblGrid>
      <w:tr>
        <w:trPr>
          <w:tblHeader/>
        </w:trPr>
        <w:tc>
          <w:tcPr>
            <w:tcW w:type="dxa" w:w="3200"/>
            <w:tcBorders>
              <w:top w:val="single" w:color="CCCCCC" w:sz="1"/>
              <w:left w:val="single" w:color="CCCCCC" w:sz="1"/>
              <w:bottom w:val="single" w:color="CCCCCC" w:sz="1"/>
              <w:right w:val="single" w:color="CCCCCC" w:sz="1"/>
            </w:tcBorders>
            <w:shd w:fill="0D2340" w:val="clear"/>
            <w:tcMar>
              <w:top w:type="dxa" w:w="80"/>
              <w:left w:type="dxa" w:w="140"/>
              <w:bottom w:type="dxa" w:w="80"/>
              <w:right w:type="dxa" w:w="140"/>
            </w:tcMar>
          </w:tcPr>
          <w:p>
            <w:r>
              <w:rPr>
                <w:rFonts w:ascii="Arial" w:cs="Arial" w:eastAsia="Arial" w:hAnsi="Arial"/>
                <w:b/>
                <w:bCs/>
                <w:color w:val="FFFFFF"/>
                <w:sz w:val="19"/>
                <w:szCs w:val="19"/>
              </w:rPr>
              <w:t xml:space="preserve">Data Point</w:t>
            </w:r>
          </w:p>
        </w:tc>
        <w:tc>
          <w:tcPr>
            <w:tcW w:type="dxa" w:w="6160"/>
            <w:tcBorders>
              <w:top w:val="single" w:color="CCCCCC" w:sz="1"/>
              <w:left w:val="single" w:color="CCCCCC" w:sz="1"/>
              <w:bottom w:val="single" w:color="CCCCCC" w:sz="1"/>
              <w:right w:val="single" w:color="CCCCCC" w:sz="1"/>
            </w:tcBorders>
            <w:shd w:fill="0D2340" w:val="clear"/>
            <w:tcMar>
              <w:top w:type="dxa" w:w="80"/>
              <w:left w:type="dxa" w:w="140"/>
              <w:bottom w:type="dxa" w:w="80"/>
              <w:right w:type="dxa" w:w="140"/>
            </w:tcMar>
          </w:tcPr>
          <w:p>
            <w:r>
              <w:rPr>
                <w:rFonts w:ascii="Arial" w:cs="Arial" w:eastAsia="Arial" w:hAnsi="Arial"/>
                <w:b/>
                <w:bCs/>
                <w:color w:val="FFFFFF"/>
                <w:sz w:val="19"/>
                <w:szCs w:val="19"/>
              </w:rPr>
              <w:t xml:space="preserve">Detail</w:t>
            </w:r>
          </w:p>
        </w:tc>
      </w:tr>
      <w:tr>
        <w:tc>
          <w:tcPr>
            <w:tcW w:type="dxa" w:w="3200"/>
            <w:tcBorders>
              <w:top w:val="single" w:color="CCCCCC" w:sz="1"/>
              <w:left w:val="single" w:color="CCCCCC" w:sz="1"/>
              <w:bottom w:val="single" w:color="CCCCCC" w:sz="1"/>
              <w:right w:val="single" w:color="CCCCCC" w:sz="1"/>
            </w:tcBorders>
            <w:shd w:fill="E6F4F4" w:val="clear"/>
            <w:tcMar>
              <w:top w:type="dxa" w:w="80"/>
              <w:left w:type="dxa" w:w="140"/>
              <w:bottom w:type="dxa" w:w="80"/>
              <w:right w:type="dxa" w:w="140"/>
            </w:tcMar>
            <w:vAlign w:val="center"/>
          </w:tcPr>
          <w:p>
            <w:r>
              <w:rPr>
                <w:rFonts w:ascii="Arial" w:cs="Arial" w:eastAsia="Arial" w:hAnsi="Arial"/>
                <w:b/>
                <w:bCs/>
                <w:color w:val="1A1A1A"/>
                <w:sz w:val="19"/>
                <w:szCs w:val="19"/>
              </w:rPr>
              <w:t xml:space="preserve">Strategic Institutional Round</w:t>
            </w:r>
          </w:p>
        </w:tc>
        <w:tc>
          <w:tcPr>
            <w:tcW w:type="dxa" w:w="6160"/>
            <w:tcBorders>
              <w:top w:val="single" w:color="CCCCCC" w:sz="1"/>
              <w:left w:val="single" w:color="CCCCCC" w:sz="1"/>
              <w:bottom w:val="single" w:color="CCCCCC" w:sz="1"/>
              <w:right w:val="single" w:color="CCCCCC" w:sz="1"/>
            </w:tcBorders>
            <w:shd w:fill="E6F4F4" w:val="clear"/>
            <w:tcMar>
              <w:top w:type="dxa" w:w="80"/>
              <w:left w:type="dxa" w:w="140"/>
              <w:bottom w:type="dxa" w:w="80"/>
              <w:right w:type="dxa" w:w="140"/>
            </w:tcMar>
            <w:vAlign w:val="center"/>
          </w:tcPr>
          <w:p>
            <w:r>
              <w:rPr>
                <w:rFonts w:ascii="Arial" w:cs="Arial" w:eastAsia="Arial" w:hAnsi="Arial"/>
                <w:color w:val="1A1A1A"/>
                <w:sz w:val="19"/>
                <w:szCs w:val="19"/>
              </w:rPr>
              <w:t xml:space="preserve">~$25M+ — led by Tempus Network (subsidiary of Burkhan World Investments) in May 2022</w:t>
            </w:r>
          </w:p>
        </w:tc>
      </w:tr>
      <w:tr>
        <w:tc>
          <w:tcPr>
            <w:tcW w:type="dxa" w:w="3200"/>
            <w:tcBorders>
              <w:top w:val="single" w:color="CCCCCC" w:sz="1"/>
              <w:left w:val="single" w:color="CCCCCC" w:sz="1"/>
              <w:bottom w:val="single" w:color="CCCCCC" w:sz="1"/>
              <w:right w:val="single" w:color="CCCCCC" w:sz="1"/>
            </w:tcBorders>
            <w:shd w:fill="F5F5F5" w:val="clear"/>
            <w:tcMar>
              <w:top w:type="dxa" w:w="80"/>
              <w:left w:type="dxa" w:w="140"/>
              <w:bottom w:type="dxa" w:w="80"/>
              <w:right w:type="dxa" w:w="140"/>
            </w:tcMar>
            <w:vAlign w:val="center"/>
          </w:tcPr>
          <w:p>
            <w:r>
              <w:rPr>
                <w:rFonts w:ascii="Arial" w:cs="Arial" w:eastAsia="Arial" w:hAnsi="Arial"/>
                <w:b/>
                <w:bCs/>
                <w:color w:val="1A1A1A"/>
                <w:sz w:val="19"/>
                <w:szCs w:val="19"/>
              </w:rPr>
              <w:t xml:space="preserve">Strategic Investors</w:t>
            </w:r>
          </w:p>
        </w:tc>
        <w:tc>
          <w:tcPr>
            <w:tcW w:type="dxa" w:w="6160"/>
            <w:tcBorders>
              <w:top w:val="single" w:color="CCCCCC" w:sz="1"/>
              <w:left w:val="single" w:color="CCCCCC" w:sz="1"/>
              <w:bottom w:val="single" w:color="CCCCCC" w:sz="1"/>
              <w:right w:val="single" w:color="CCCCCC" w:sz="1"/>
            </w:tcBorders>
            <w:shd w:fill="F5F5F5" w:val="clear"/>
            <w:tcMar>
              <w:top w:type="dxa" w:w="80"/>
              <w:left w:type="dxa" w:w="140"/>
              <w:bottom w:type="dxa" w:w="80"/>
              <w:right w:type="dxa" w:w="140"/>
            </w:tcMar>
            <w:vAlign w:val="center"/>
          </w:tcPr>
          <w:p>
            <w:r>
              <w:rPr>
                <w:rFonts w:ascii="Arial" w:cs="Arial" w:eastAsia="Arial" w:hAnsi="Arial"/>
                <w:color w:val="1A1A1A"/>
                <w:sz w:val="19"/>
                <w:szCs w:val="19"/>
              </w:rPr>
              <w:t xml:space="preserve">Deutsche Börse, Société Générale CIB, Burkhan World Investments</w:t>
            </w:r>
          </w:p>
        </w:tc>
      </w:tr>
      <w:tr>
        <w:tc>
          <w:tcPr>
            <w:tcW w:type="dxa" w:w="3200"/>
            <w:tcBorders>
              <w:top w:val="single" w:color="CCCCCC" w:sz="1"/>
              <w:left w:val="single" w:color="CCCCCC" w:sz="1"/>
              <w:bottom w:val="single" w:color="CCCCCC" w:sz="1"/>
              <w:right w:val="single" w:color="CCCCCC" w:sz="1"/>
            </w:tcBorders>
            <w:shd w:fill="E6F4F4" w:val="clear"/>
            <w:tcMar>
              <w:top w:type="dxa" w:w="80"/>
              <w:left w:type="dxa" w:w="140"/>
              <w:bottom w:type="dxa" w:w="80"/>
              <w:right w:type="dxa" w:w="140"/>
            </w:tcMar>
            <w:vAlign w:val="center"/>
          </w:tcPr>
          <w:p>
            <w:r>
              <w:rPr>
                <w:rFonts w:ascii="Arial" w:cs="Arial" w:eastAsia="Arial" w:hAnsi="Arial"/>
                <w:b/>
                <w:bCs/>
                <w:color w:val="1A1A1A"/>
                <w:sz w:val="19"/>
                <w:szCs w:val="19"/>
              </w:rPr>
              <w:t xml:space="preserve">Valuation</w:t>
            </w:r>
          </w:p>
        </w:tc>
        <w:tc>
          <w:tcPr>
            <w:tcW w:type="dxa" w:w="6160"/>
            <w:tcBorders>
              <w:top w:val="single" w:color="CCCCCC" w:sz="1"/>
              <w:left w:val="single" w:color="CCCCCC" w:sz="1"/>
              <w:bottom w:val="single" w:color="CCCCCC" w:sz="1"/>
              <w:right w:val="single" w:color="CCCCCC" w:sz="1"/>
            </w:tcBorders>
            <w:shd w:fill="E6F4F4" w:val="clear"/>
            <w:tcMar>
              <w:top w:type="dxa" w:w="80"/>
              <w:left w:type="dxa" w:w="140"/>
              <w:bottom w:type="dxa" w:w="80"/>
              <w:right w:type="dxa" w:w="140"/>
            </w:tcMar>
            <w:vAlign w:val="center"/>
          </w:tcPr>
          <w:p>
            <w:r>
              <w:rPr>
                <w:rFonts w:ascii="Arial" w:cs="Arial" w:eastAsia="Arial" w:hAnsi="Arial"/>
                <w:color w:val="1A1A1A"/>
                <w:sz w:val="19"/>
                <w:szCs w:val="19"/>
              </w:rPr>
              <w:t xml:space="preserve">Not publicly disclosed</w:t>
            </w:r>
          </w:p>
        </w:tc>
      </w:tr>
      <w:tr>
        <w:tc>
          <w:tcPr>
            <w:tcW w:type="dxa" w:w="3200"/>
            <w:tcBorders>
              <w:top w:val="single" w:color="CCCCCC" w:sz="1"/>
              <w:left w:val="single" w:color="CCCCCC" w:sz="1"/>
              <w:bottom w:val="single" w:color="CCCCCC" w:sz="1"/>
              <w:right w:val="single" w:color="CCCCCC" w:sz="1"/>
            </w:tcBorders>
            <w:shd w:fill="F5F5F5" w:val="clear"/>
            <w:tcMar>
              <w:top w:type="dxa" w:w="80"/>
              <w:left w:type="dxa" w:w="140"/>
              <w:bottom w:type="dxa" w:w="80"/>
              <w:right w:type="dxa" w:w="140"/>
            </w:tcMar>
            <w:vAlign w:val="center"/>
          </w:tcPr>
          <w:p>
            <w:r>
              <w:rPr>
                <w:rFonts w:ascii="Arial" w:cs="Arial" w:eastAsia="Arial" w:hAnsi="Arial"/>
                <w:b/>
                <w:bCs/>
                <w:color w:val="1A1A1A"/>
                <w:sz w:val="19"/>
                <w:szCs w:val="19"/>
              </w:rPr>
              <w:t xml:space="preserve">Operating Status</w:t>
            </w:r>
          </w:p>
        </w:tc>
        <w:tc>
          <w:tcPr>
            <w:tcW w:type="dxa" w:w="6160"/>
            <w:tcBorders>
              <w:top w:val="single" w:color="CCCCCC" w:sz="1"/>
              <w:left w:val="single" w:color="CCCCCC" w:sz="1"/>
              <w:bottom w:val="single" w:color="CCCCCC" w:sz="1"/>
              <w:right w:val="single" w:color="CCCCCC" w:sz="1"/>
            </w:tcBorders>
            <w:shd w:fill="F5F5F5" w:val="clear"/>
            <w:tcMar>
              <w:top w:type="dxa" w:w="80"/>
              <w:left w:type="dxa" w:w="140"/>
              <w:bottom w:type="dxa" w:w="80"/>
              <w:right w:type="dxa" w:w="140"/>
            </w:tcMar>
            <w:vAlign w:val="center"/>
          </w:tcPr>
          <w:p>
            <w:r>
              <w:rPr>
                <w:rFonts w:ascii="Arial" w:cs="Arial" w:eastAsia="Arial" w:hAnsi="Arial"/>
                <w:color w:val="1A1A1A"/>
                <w:sz w:val="19"/>
                <w:szCs w:val="19"/>
              </w:rPr>
              <w:t xml:space="preserve">Exchange infrastructure operating across 20+ jurisdictions. MTF, post-trade, registry, and clearing technology</w:t>
            </w:r>
          </w:p>
        </w:tc>
      </w:tr>
      <w:tr>
        <w:tc>
          <w:tcPr>
            <w:tcW w:type="dxa" w:w="3200"/>
            <w:tcBorders>
              <w:top w:val="single" w:color="CCCCCC" w:sz="1"/>
              <w:left w:val="single" w:color="CCCCCC" w:sz="1"/>
              <w:bottom w:val="single" w:color="CCCCCC" w:sz="1"/>
              <w:right w:val="single" w:color="CCCCCC" w:sz="1"/>
            </w:tcBorders>
            <w:shd w:fill="E6F4F4" w:val="clear"/>
            <w:tcMar>
              <w:top w:type="dxa" w:w="80"/>
              <w:left w:type="dxa" w:w="140"/>
              <w:bottom w:type="dxa" w:w="80"/>
              <w:right w:type="dxa" w:w="140"/>
            </w:tcMar>
            <w:vAlign w:val="center"/>
          </w:tcPr>
          <w:p>
            <w:r>
              <w:rPr>
                <w:rFonts w:ascii="Arial" w:cs="Arial" w:eastAsia="Arial" w:hAnsi="Arial"/>
                <w:b/>
                <w:bCs/>
                <w:color w:val="1A1A1A"/>
                <w:sz w:val="19"/>
                <w:szCs w:val="19"/>
              </w:rPr>
              <w:t xml:space="preserve">Source</w:t>
            </w:r>
          </w:p>
        </w:tc>
        <w:tc>
          <w:tcPr>
            <w:tcW w:type="dxa" w:w="6160"/>
            <w:tcBorders>
              <w:top w:val="single" w:color="CCCCCC" w:sz="1"/>
              <w:left w:val="single" w:color="CCCCCC" w:sz="1"/>
              <w:bottom w:val="single" w:color="CCCCCC" w:sz="1"/>
              <w:right w:val="single" w:color="CCCCCC" w:sz="1"/>
            </w:tcBorders>
            <w:shd w:fill="E6F4F4" w:val="clear"/>
            <w:tcMar>
              <w:top w:type="dxa" w:w="80"/>
              <w:left w:type="dxa" w:w="140"/>
              <w:bottom w:type="dxa" w:w="80"/>
              <w:right w:type="dxa" w:w="140"/>
            </w:tcMar>
            <w:vAlign w:val="center"/>
          </w:tcPr>
          <w:p>
            <w:r>
              <w:rPr>
                <w:rFonts w:ascii="Arial" w:cs="Arial" w:eastAsia="Arial" w:hAnsi="Arial"/>
                <w:color w:val="1A1A1A"/>
                <w:sz w:val="19"/>
                <w:szCs w:val="19"/>
              </w:rPr>
              <w:t xml:space="preserve">PitchBook, Tracxn, BusinessABC, company announcements (2022–2024)</w:t>
            </w:r>
          </w:p>
        </w:tc>
      </w:tr>
    </w:tbl>
    <w:p>
      <w:pPr>
        <w:spacing w:after="80" w:before="100"/>
        <w:jc w:val="left"/>
      </w:pPr>
      <w:r>
        <w:rPr>
          <w:rFonts w:ascii="Arial" w:cs="Arial" w:eastAsia="Arial" w:hAnsi="Arial"/>
          <w:b w:val="false"/>
          <w:bCs w:val="false"/>
          <w:i w:val="false"/>
          <w:iCs w:val="false"/>
          <w:color w:val="1A1A1A"/>
          <w:sz w:val="20"/>
          <w:szCs w:val="20"/>
        </w:rPr>
        <w:t xml:space="preserve">Why it matters for GSCX: GMEX demonstrates that major exchange operators — Deutsche Börse and SocGen — invest directly in independent exchange infrastructure platforms at institutional capital levels. The investor profile at GMEX (tier-1 European exchange operators, sovereign-linked capital) is directly analogous to GSCX's target investor base.</w:t>
      </w:r>
    </w:p>
    <w:p>
      <w:pPr>
        <w:pBdr>
          <w:bottom w:val="single" w:color="1B7A7A" w:sz="4"/>
        </w:pBdr>
        <w:spacing w:after="180" w:before="180"/>
      </w:pPr>
    </w:p>
    <w:p>
      <w:pPr>
        <w:spacing w:after="120" w:before="340"/>
      </w:pPr>
      <w:r>
        <w:rPr>
          <w:rFonts w:ascii="Arial" w:cs="Arial" w:eastAsia="Arial" w:hAnsi="Arial"/>
          <w:b/>
          <w:bCs/>
          <w:color w:val="0D2340"/>
          <w:sz w:val="28"/>
          <w:szCs w:val="28"/>
        </w:rPr>
        <w:t xml:space="preserve">4.  Category Two: Architecture Validation</w:t>
      </w:r>
    </w:p>
    <w:p>
      <w:pPr>
        <w:spacing w:after="100" w:before="60"/>
        <w:jc w:val="left"/>
      </w:pPr>
      <w:r>
        <w:rPr>
          <w:rFonts w:ascii="Arial" w:cs="Arial" w:eastAsia="Arial" w:hAnsi="Arial"/>
          <w:b w:val="false"/>
          <w:bCs w:val="false"/>
          <w:i w:val="false"/>
          <w:iCs w:val="false"/>
          <w:color w:val="1A1A1A"/>
          <w:sz w:val="20"/>
          <w:szCs w:val="20"/>
        </w:rPr>
        <w:t xml:space="preserve">The following organisations are not valuation benchmarks. They are referenced to validate that the operating model GSCX is building — integrated exchange infrastructure, settlement, custody, and trade finance — has institutional precedent, is commercially viable at scale, and is increasingly the direction institutional financial markets are moving.</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200"/>
        <w:gridCol w:w="6160"/>
      </w:tblGrid>
      <w:tr>
        <w:trPr>
          <w:tblHeader/>
        </w:trPr>
        <w:tc>
          <w:tcPr>
            <w:tcW w:type="dxa" w:w="3200"/>
            <w:tcBorders>
              <w:top w:val="single" w:color="CCCCCC" w:sz="1"/>
              <w:left w:val="single" w:color="CCCCCC" w:sz="1"/>
              <w:bottom w:val="single" w:color="CCCCCC" w:sz="1"/>
              <w:right w:val="single" w:color="CCCCCC" w:sz="1"/>
            </w:tcBorders>
            <w:shd w:fill="0D2340" w:val="clear"/>
            <w:tcMar>
              <w:top w:type="dxa" w:w="80"/>
              <w:left w:type="dxa" w:w="140"/>
              <w:bottom w:type="dxa" w:w="80"/>
              <w:right w:type="dxa" w:w="140"/>
            </w:tcMar>
          </w:tcPr>
          <w:p>
            <w:r>
              <w:rPr>
                <w:rFonts w:ascii="Arial" w:cs="Arial" w:eastAsia="Arial" w:hAnsi="Arial"/>
                <w:b/>
                <w:bCs/>
                <w:color w:val="FFFFFF"/>
                <w:sz w:val="19"/>
                <w:szCs w:val="19"/>
              </w:rPr>
              <w:t xml:space="preserve">Organisation</w:t>
            </w:r>
          </w:p>
        </w:tc>
        <w:tc>
          <w:tcPr>
            <w:tcW w:type="dxa" w:w="6160"/>
            <w:tcBorders>
              <w:top w:val="single" w:color="CCCCCC" w:sz="1"/>
              <w:left w:val="single" w:color="CCCCCC" w:sz="1"/>
              <w:bottom w:val="single" w:color="CCCCCC" w:sz="1"/>
              <w:right w:val="single" w:color="CCCCCC" w:sz="1"/>
            </w:tcBorders>
            <w:shd w:fill="0D2340" w:val="clear"/>
            <w:tcMar>
              <w:top w:type="dxa" w:w="80"/>
              <w:left w:type="dxa" w:w="140"/>
              <w:bottom w:type="dxa" w:w="80"/>
              <w:right w:type="dxa" w:w="140"/>
            </w:tcMar>
          </w:tcPr>
          <w:p>
            <w:r>
              <w:rPr>
                <w:rFonts w:ascii="Arial" w:cs="Arial" w:eastAsia="Arial" w:hAnsi="Arial"/>
                <w:b/>
                <w:bCs/>
                <w:color w:val="FFFFFF"/>
                <w:sz w:val="19"/>
                <w:szCs w:val="19"/>
              </w:rPr>
              <w:t xml:space="preserve">What It Validates for GSCX</w:t>
            </w:r>
          </w:p>
        </w:tc>
      </w:tr>
      <w:tr>
        <w:tc>
          <w:tcPr>
            <w:tcW w:type="dxa" w:w="3200"/>
            <w:tcBorders>
              <w:top w:val="single" w:color="CCCCCC" w:sz="1"/>
              <w:left w:val="single" w:color="CCCCCC" w:sz="1"/>
              <w:bottom w:val="single" w:color="CCCCCC" w:sz="1"/>
              <w:right w:val="single" w:color="CCCCCC" w:sz="1"/>
            </w:tcBorders>
            <w:shd w:fill="E6F4F4" w:val="clear"/>
            <w:tcMar>
              <w:top w:type="dxa" w:w="80"/>
              <w:left w:type="dxa" w:w="140"/>
              <w:bottom w:type="dxa" w:w="80"/>
              <w:right w:type="dxa" w:w="140"/>
            </w:tcMar>
            <w:vAlign w:val="center"/>
          </w:tcPr>
          <w:p>
            <w:r>
              <w:rPr>
                <w:rFonts w:ascii="Arial" w:cs="Arial" w:eastAsia="Arial" w:hAnsi="Arial"/>
                <w:b/>
                <w:bCs/>
                <w:color w:val="1A1A1A"/>
                <w:sz w:val="19"/>
                <w:szCs w:val="19"/>
              </w:rPr>
              <w:t xml:space="preserve">Bosonic</w:t>
            </w:r>
          </w:p>
        </w:tc>
        <w:tc>
          <w:tcPr>
            <w:tcW w:type="dxa" w:w="6160"/>
            <w:tcBorders>
              <w:top w:val="single" w:color="CCCCCC" w:sz="1"/>
              <w:left w:val="single" w:color="CCCCCC" w:sz="1"/>
              <w:bottom w:val="single" w:color="CCCCCC" w:sz="1"/>
              <w:right w:val="single" w:color="CCCCCC" w:sz="1"/>
            </w:tcBorders>
            <w:shd w:fill="E6F4F4" w:val="clear"/>
            <w:tcMar>
              <w:top w:type="dxa" w:w="80"/>
              <w:left w:type="dxa" w:w="140"/>
              <w:bottom w:type="dxa" w:w="80"/>
              <w:right w:type="dxa" w:w="140"/>
            </w:tcMar>
            <w:vAlign w:val="center"/>
          </w:tcPr>
          <w:p>
            <w:r>
              <w:rPr>
                <w:rFonts w:ascii="Arial" w:cs="Arial" w:eastAsia="Arial" w:hAnsi="Arial"/>
                <w:color w:val="1A1A1A"/>
                <w:sz w:val="19"/>
                <w:szCs w:val="19"/>
              </w:rPr>
              <w:t xml:space="preserve">Validates institutional demand for cross-custodian atomic settlement infrastructure without counterparty risk. GSCX's settlement and clearing layer is directly analogous. $27.9M raised; SEC ATS registered.</w:t>
            </w:r>
          </w:p>
        </w:tc>
      </w:tr>
      <w:tr>
        <w:tc>
          <w:tcPr>
            <w:tcW w:type="dxa" w:w="3200"/>
            <w:tcBorders>
              <w:top w:val="single" w:color="CCCCCC" w:sz="1"/>
              <w:left w:val="single" w:color="CCCCCC" w:sz="1"/>
              <w:bottom w:val="single" w:color="CCCCCC" w:sz="1"/>
              <w:right w:val="single" w:color="CCCCCC" w:sz="1"/>
            </w:tcBorders>
            <w:shd w:fill="F5F5F5" w:val="clear"/>
            <w:tcMar>
              <w:top w:type="dxa" w:w="80"/>
              <w:left w:type="dxa" w:w="140"/>
              <w:bottom w:type="dxa" w:w="80"/>
              <w:right w:type="dxa" w:w="140"/>
            </w:tcMar>
            <w:vAlign w:val="center"/>
          </w:tcPr>
          <w:p>
            <w:r>
              <w:rPr>
                <w:rFonts w:ascii="Arial" w:cs="Arial" w:eastAsia="Arial" w:hAnsi="Arial"/>
                <w:b/>
                <w:bCs/>
                <w:color w:val="1A1A1A"/>
                <w:sz w:val="19"/>
                <w:szCs w:val="19"/>
              </w:rPr>
              <w:t xml:space="preserve">SDX (SIX Digital Exchange)</w:t>
            </w:r>
          </w:p>
        </w:tc>
        <w:tc>
          <w:tcPr>
            <w:tcW w:type="dxa" w:w="6160"/>
            <w:tcBorders>
              <w:top w:val="single" w:color="CCCCCC" w:sz="1"/>
              <w:left w:val="single" w:color="CCCCCC" w:sz="1"/>
              <w:bottom w:val="single" w:color="CCCCCC" w:sz="1"/>
              <w:right w:val="single" w:color="CCCCCC" w:sz="1"/>
            </w:tcBorders>
            <w:shd w:fill="F5F5F5" w:val="clear"/>
            <w:tcMar>
              <w:top w:type="dxa" w:w="80"/>
              <w:left w:type="dxa" w:w="140"/>
              <w:bottom w:type="dxa" w:w="80"/>
              <w:right w:type="dxa" w:w="140"/>
            </w:tcMar>
            <w:vAlign w:val="center"/>
          </w:tcPr>
          <w:p>
            <w:r>
              <w:rPr>
                <w:rFonts w:ascii="Arial" w:cs="Arial" w:eastAsia="Arial" w:hAnsi="Arial"/>
                <w:color w:val="1A1A1A"/>
                <w:sz w:val="19"/>
                <w:szCs w:val="19"/>
              </w:rPr>
              <w:t xml:space="preserve">Validates the full-stack regulated digital exchange + CSD model. FINMA-licensed; trading, settlement, and custody on DLT. World Bank, UBS, Commerzbank as issuers. Represents GSCX's Swiss ambition at full institutional scale.</w:t>
            </w:r>
          </w:p>
        </w:tc>
      </w:tr>
      <w:tr>
        <w:tc>
          <w:tcPr>
            <w:tcW w:type="dxa" w:w="3200"/>
            <w:tcBorders>
              <w:top w:val="single" w:color="CCCCCC" w:sz="1"/>
              <w:left w:val="single" w:color="CCCCCC" w:sz="1"/>
              <w:bottom w:val="single" w:color="CCCCCC" w:sz="1"/>
              <w:right w:val="single" w:color="CCCCCC" w:sz="1"/>
            </w:tcBorders>
            <w:shd w:fill="E6F4F4" w:val="clear"/>
            <w:tcMar>
              <w:top w:type="dxa" w:w="80"/>
              <w:left w:type="dxa" w:w="140"/>
              <w:bottom w:type="dxa" w:w="80"/>
              <w:right w:type="dxa" w:w="140"/>
            </w:tcMar>
            <w:vAlign w:val="center"/>
          </w:tcPr>
          <w:p>
            <w:r>
              <w:rPr>
                <w:rFonts w:ascii="Arial" w:cs="Arial" w:eastAsia="Arial" w:hAnsi="Arial"/>
                <w:b/>
                <w:bCs/>
                <w:color w:val="1A1A1A"/>
                <w:sz w:val="19"/>
                <w:szCs w:val="19"/>
              </w:rPr>
              <w:t xml:space="preserve">DTCC</w:t>
            </w:r>
          </w:p>
        </w:tc>
        <w:tc>
          <w:tcPr>
            <w:tcW w:type="dxa" w:w="6160"/>
            <w:tcBorders>
              <w:top w:val="single" w:color="CCCCCC" w:sz="1"/>
              <w:left w:val="single" w:color="CCCCCC" w:sz="1"/>
              <w:bottom w:val="single" w:color="CCCCCC" w:sz="1"/>
              <w:right w:val="single" w:color="CCCCCC" w:sz="1"/>
            </w:tcBorders>
            <w:shd w:fill="E6F4F4" w:val="clear"/>
            <w:tcMar>
              <w:top w:type="dxa" w:w="80"/>
              <w:left w:type="dxa" w:w="140"/>
              <w:bottom w:type="dxa" w:w="80"/>
              <w:right w:type="dxa" w:w="140"/>
            </w:tcMar>
            <w:vAlign w:val="center"/>
          </w:tcPr>
          <w:p>
            <w:r>
              <w:rPr>
                <w:rFonts w:ascii="Arial" w:cs="Arial" w:eastAsia="Arial" w:hAnsi="Arial"/>
                <w:color w:val="1A1A1A"/>
                <w:sz w:val="19"/>
                <w:szCs w:val="19"/>
              </w:rPr>
              <w:t xml:space="preserve">Validates clearing, settlement, and post-trade infrastructure as standalone high-value institutional businesses. GSCX's CCP and settlement layer follows the same functional logic.</w:t>
            </w:r>
          </w:p>
        </w:tc>
      </w:tr>
      <w:tr>
        <w:tc>
          <w:tcPr>
            <w:tcW w:type="dxa" w:w="3200"/>
            <w:tcBorders>
              <w:top w:val="single" w:color="CCCCCC" w:sz="1"/>
              <w:left w:val="single" w:color="CCCCCC" w:sz="1"/>
              <w:bottom w:val="single" w:color="CCCCCC" w:sz="1"/>
              <w:right w:val="single" w:color="CCCCCC" w:sz="1"/>
            </w:tcBorders>
            <w:shd w:fill="F5F5F5" w:val="clear"/>
            <w:tcMar>
              <w:top w:type="dxa" w:w="80"/>
              <w:left w:type="dxa" w:w="140"/>
              <w:bottom w:type="dxa" w:w="80"/>
              <w:right w:type="dxa" w:w="140"/>
            </w:tcMar>
            <w:vAlign w:val="center"/>
          </w:tcPr>
          <w:p>
            <w:r>
              <w:rPr>
                <w:rFonts w:ascii="Arial" w:cs="Arial" w:eastAsia="Arial" w:hAnsi="Arial"/>
                <w:b/>
                <w:bCs/>
                <w:color w:val="1A1A1A"/>
                <w:sz w:val="19"/>
                <w:szCs w:val="19"/>
              </w:rPr>
              <w:t xml:space="preserve">Euroclear</w:t>
            </w:r>
          </w:p>
        </w:tc>
        <w:tc>
          <w:tcPr>
            <w:tcW w:type="dxa" w:w="6160"/>
            <w:tcBorders>
              <w:top w:val="single" w:color="CCCCCC" w:sz="1"/>
              <w:left w:val="single" w:color="CCCCCC" w:sz="1"/>
              <w:bottom w:val="single" w:color="CCCCCC" w:sz="1"/>
              <w:right w:val="single" w:color="CCCCCC" w:sz="1"/>
            </w:tcBorders>
            <w:shd w:fill="F5F5F5" w:val="clear"/>
            <w:tcMar>
              <w:top w:type="dxa" w:w="80"/>
              <w:left w:type="dxa" w:w="140"/>
              <w:bottom w:type="dxa" w:w="80"/>
              <w:right w:type="dxa" w:w="140"/>
            </w:tcMar>
            <w:vAlign w:val="center"/>
          </w:tcPr>
          <w:p>
            <w:r>
              <w:rPr>
                <w:rFonts w:ascii="Arial" w:cs="Arial" w:eastAsia="Arial" w:hAnsi="Arial"/>
                <w:color w:val="1A1A1A"/>
                <w:sz w:val="19"/>
                <w:szCs w:val="19"/>
              </w:rPr>
              <w:t xml:space="preserve">Validates cross-border custody, settlement, and asset servicing as durable, high-margin infrastructure businesses serving institutional capital markets.</w:t>
            </w:r>
          </w:p>
        </w:tc>
      </w:tr>
      <w:tr>
        <w:tc>
          <w:tcPr>
            <w:tcW w:type="dxa" w:w="3200"/>
            <w:tcBorders>
              <w:top w:val="single" w:color="CCCCCC" w:sz="1"/>
              <w:left w:val="single" w:color="CCCCCC" w:sz="1"/>
              <w:bottom w:val="single" w:color="CCCCCC" w:sz="1"/>
              <w:right w:val="single" w:color="CCCCCC" w:sz="1"/>
            </w:tcBorders>
            <w:shd w:fill="E6F4F4" w:val="clear"/>
            <w:tcMar>
              <w:top w:type="dxa" w:w="80"/>
              <w:left w:type="dxa" w:w="140"/>
              <w:bottom w:type="dxa" w:w="80"/>
              <w:right w:type="dxa" w:w="140"/>
            </w:tcMar>
            <w:vAlign w:val="center"/>
          </w:tcPr>
          <w:p>
            <w:r>
              <w:rPr>
                <w:rFonts w:ascii="Arial" w:cs="Arial" w:eastAsia="Arial" w:hAnsi="Arial"/>
                <w:b/>
                <w:bCs/>
                <w:color w:val="1A1A1A"/>
                <w:sz w:val="19"/>
                <w:szCs w:val="19"/>
              </w:rPr>
              <w:t xml:space="preserve">CLS (Continuous Linked Settlement)</w:t>
            </w:r>
          </w:p>
        </w:tc>
        <w:tc>
          <w:tcPr>
            <w:tcW w:type="dxa" w:w="6160"/>
            <w:tcBorders>
              <w:top w:val="single" w:color="CCCCCC" w:sz="1"/>
              <w:left w:val="single" w:color="CCCCCC" w:sz="1"/>
              <w:bottom w:val="single" w:color="CCCCCC" w:sz="1"/>
              <w:right w:val="single" w:color="CCCCCC" w:sz="1"/>
            </w:tcBorders>
            <w:shd w:fill="E6F4F4" w:val="clear"/>
            <w:tcMar>
              <w:top w:type="dxa" w:w="80"/>
              <w:left w:type="dxa" w:w="140"/>
              <w:bottom w:type="dxa" w:w="80"/>
              <w:right w:type="dxa" w:w="140"/>
            </w:tcMar>
            <w:vAlign w:val="center"/>
          </w:tcPr>
          <w:p>
            <w:r>
              <w:rPr>
                <w:rFonts w:ascii="Arial" w:cs="Arial" w:eastAsia="Arial" w:hAnsi="Arial"/>
                <w:color w:val="1A1A1A"/>
                <w:sz w:val="19"/>
                <w:szCs w:val="19"/>
              </w:rPr>
              <w:t xml:space="preserve">Validates payment-versus-payment settlement coordination as mission-critical institutional infrastructure. GSCX's multi-currency settlement architecture follows the same principle.</w:t>
            </w:r>
          </w:p>
        </w:tc>
      </w:tr>
    </w:tbl>
    <w:p>
      <w:pPr>
        <w:pBdr>
          <w:bottom w:val="single" w:color="1B7A7A" w:sz="4"/>
        </w:pBdr>
        <w:spacing w:after="180" w:before="180"/>
      </w:pPr>
    </w:p>
    <w:p>
      <w:pPr>
        <w:spacing w:after="120" w:before="340"/>
      </w:pPr>
      <w:r>
        <w:rPr>
          <w:rFonts w:ascii="Arial" w:cs="Arial" w:eastAsia="Arial" w:hAnsi="Arial"/>
          <w:b/>
          <w:bCs/>
          <w:color w:val="0D2340"/>
          <w:sz w:val="28"/>
          <w:szCs w:val="28"/>
        </w:rPr>
        <w:t xml:space="preserve">5.  Why No Single Comparable Fully Reflects GSCX</w:t>
      </w:r>
    </w:p>
    <w:p>
      <w:pPr>
        <w:spacing w:after="60" w:before="60"/>
        <w:jc w:val="left"/>
      </w:pPr>
      <w:r>
        <w:rPr>
          <w:rFonts w:ascii="Arial" w:cs="Arial" w:eastAsia="Arial" w:hAnsi="Arial"/>
          <w:b w:val="false"/>
          <w:bCs w:val="false"/>
          <w:i w:val="false"/>
          <w:iCs w:val="false"/>
          <w:color w:val="1A1A1A"/>
          <w:sz w:val="20"/>
          <w:szCs w:val="20"/>
        </w:rPr>
        <w:t xml:space="preserve">GSCX is not a traditional exchange. It is not solely a settlement provider, a custodian, or a trade finance platform.</w:t>
      </w:r>
    </w:p>
    <w:p>
      <w:pPr>
        <w:spacing w:after="60" w:before="60"/>
        <w:jc w:val="left"/>
      </w:pPr>
      <w:r>
        <w:rPr>
          <w:rFonts w:ascii="Arial" w:cs="Arial" w:eastAsia="Arial" w:hAnsi="Arial"/>
          <w:b w:val="false"/>
          <w:bCs w:val="false"/>
          <w:i w:val="false"/>
          <w:iCs w:val="false"/>
          <w:color w:val="1A1A1A"/>
          <w:sz w:val="20"/>
          <w:szCs w:val="20"/>
        </w:rPr>
        <w:t xml:space="preserve">GSCX is being built as an Institutional Trade Infrastructure Platform — a single regulated ecosystem combining:</w:t>
      </w:r>
    </w:p>
    <w:p>
      <w:pPr>
        <w:pStyle w:val="ListParagraph"/>
        <w:numPr>
          <w:ilvl w:val="0"/>
          <w:numId w:val="2"/>
        </w:numPr>
        <w:spacing w:after="40" w:before="40"/>
        <w:ind w:left="480" w:hanging="360"/>
      </w:pPr>
      <w:r>
        <w:rPr>
          <w:rFonts w:ascii="Arial" w:cs="Arial" w:eastAsia="Arial" w:hAnsi="Arial"/>
          <w:color w:val="1A1A1A"/>
          <w:sz w:val="20"/>
          <w:szCs w:val="20"/>
        </w:rPr>
        <w:t xml:space="preserve">Multilateral Trading Facility (MTF) operations</w:t>
      </w:r>
    </w:p>
    <w:p>
      <w:pPr>
        <w:pStyle w:val="ListParagraph"/>
        <w:numPr>
          <w:ilvl w:val="0"/>
          <w:numId w:val="2"/>
        </w:numPr>
        <w:spacing w:after="40" w:before="40"/>
        <w:ind w:left="480" w:hanging="360"/>
      </w:pPr>
      <w:r>
        <w:rPr>
          <w:rFonts w:ascii="Arial" w:cs="Arial" w:eastAsia="Arial" w:hAnsi="Arial"/>
          <w:color w:val="1A1A1A"/>
          <w:sz w:val="20"/>
          <w:szCs w:val="20"/>
        </w:rPr>
        <w:t xml:space="preserve">Central Counterparty (CCP) clearing and settlement</w:t>
      </w:r>
    </w:p>
    <w:p>
      <w:pPr>
        <w:pStyle w:val="ListParagraph"/>
        <w:numPr>
          <w:ilvl w:val="0"/>
          <w:numId w:val="2"/>
        </w:numPr>
        <w:spacing w:after="40" w:before="40"/>
        <w:ind w:left="480" w:hanging="360"/>
      </w:pPr>
      <w:r>
        <w:rPr>
          <w:rFonts w:ascii="Arial" w:cs="Arial" w:eastAsia="Arial" w:hAnsi="Arial"/>
          <w:color w:val="1A1A1A"/>
          <w:sz w:val="20"/>
          <w:szCs w:val="20"/>
        </w:rPr>
        <w:t xml:space="preserve">Custody and trust services</w:t>
      </w:r>
    </w:p>
    <w:p>
      <w:pPr>
        <w:pStyle w:val="ListParagraph"/>
        <w:numPr>
          <w:ilvl w:val="0"/>
          <w:numId w:val="2"/>
        </w:numPr>
        <w:spacing w:after="40" w:before="40"/>
        <w:ind w:left="480" w:hanging="360"/>
      </w:pPr>
      <w:r>
        <w:rPr>
          <w:rFonts w:ascii="Arial" w:cs="Arial" w:eastAsia="Arial" w:hAnsi="Arial"/>
          <w:color w:val="1A1A1A"/>
          <w:sz w:val="20"/>
          <w:szCs w:val="20"/>
        </w:rPr>
        <w:t xml:space="preserve">Tokenisation and digital documentation</w:t>
      </w:r>
    </w:p>
    <w:p>
      <w:pPr>
        <w:pStyle w:val="ListParagraph"/>
        <w:numPr>
          <w:ilvl w:val="0"/>
          <w:numId w:val="2"/>
        </w:numPr>
        <w:spacing w:after="40" w:before="40"/>
        <w:ind w:left="480" w:hanging="360"/>
      </w:pPr>
      <w:r>
        <w:rPr>
          <w:rFonts w:ascii="Arial" w:cs="Arial" w:eastAsia="Arial" w:hAnsi="Arial"/>
          <w:color w:val="1A1A1A"/>
          <w:sz w:val="20"/>
          <w:szCs w:val="20"/>
        </w:rPr>
        <w:t xml:space="preserve">Captive insurance integration</w:t>
      </w:r>
    </w:p>
    <w:p>
      <w:pPr>
        <w:pStyle w:val="ListParagraph"/>
        <w:numPr>
          <w:ilvl w:val="0"/>
          <w:numId w:val="2"/>
        </w:numPr>
        <w:spacing w:after="40" w:before="40"/>
        <w:ind w:left="480" w:hanging="360"/>
      </w:pPr>
      <w:r>
        <w:rPr>
          <w:rFonts w:ascii="Arial" w:cs="Arial" w:eastAsia="Arial" w:hAnsi="Arial"/>
          <w:color w:val="1A1A1A"/>
          <w:sz w:val="20"/>
          <w:szCs w:val="20"/>
        </w:rPr>
        <w:t xml:space="preserve">Trade finance enablement and corridor access</w:t>
      </w:r>
    </w:p>
    <w:p>
      <w:pPr>
        <w:pStyle w:val="ListParagraph"/>
        <w:numPr>
          <w:ilvl w:val="0"/>
          <w:numId w:val="2"/>
        </w:numPr>
        <w:spacing w:after="40" w:before="40"/>
        <w:ind w:left="480" w:hanging="360"/>
      </w:pPr>
      <w:r>
        <w:rPr>
          <w:rFonts w:ascii="Arial" w:cs="Arial" w:eastAsia="Arial" w:hAnsi="Arial"/>
          <w:color w:val="1A1A1A"/>
          <w:sz w:val="20"/>
          <w:szCs w:val="20"/>
        </w:rPr>
        <w:t xml:space="preserve">Institutional data and intelligence services</w:t>
      </w:r>
    </w:p>
    <w:p>
      <w:pPr>
        <w:pStyle w:val="ListParagraph"/>
        <w:numPr>
          <w:ilvl w:val="0"/>
          <w:numId w:val="2"/>
        </w:numPr>
        <w:spacing w:after="40" w:before="40"/>
        <w:ind w:left="480" w:hanging="360"/>
      </w:pPr>
      <w:r>
        <w:rPr>
          <w:rFonts w:ascii="Arial" w:cs="Arial" w:eastAsia="Arial" w:hAnsi="Arial"/>
          <w:color w:val="1A1A1A"/>
          <w:sz w:val="20"/>
          <w:szCs w:val="20"/>
        </w:rPr>
        <w:t xml:space="preserve">Cross-border payment coordination</w:t>
      </w:r>
    </w:p>
    <w:p>
      <w:pPr>
        <w:spacing w:after="80" w:before="100"/>
        <w:jc w:val="left"/>
      </w:pPr>
      <w:r>
        <w:rPr>
          <w:rFonts w:ascii="Arial" w:cs="Arial" w:eastAsia="Arial" w:hAnsi="Arial"/>
          <w:b w:val="false"/>
          <w:bCs w:val="false"/>
          <w:i w:val="false"/>
          <w:iCs w:val="false"/>
          <w:color w:val="1A1A1A"/>
          <w:sz w:val="20"/>
          <w:szCs w:val="20"/>
        </w:rPr>
        <w:t xml:space="preserve">Each of these capabilities exists as a standalone business in the market today. GSCX combines them. This means no single funded company is a full mirror of what is being built — but the aggregate of GRVT (regulatory pathway), Archax (infrastructure model), GMEX (exchange technology), Bosonic (settlement), and SDX (full institutional stack) together describe the GSCX operating thesis.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CCCCCC" w:sz="1"/>
              <w:left w:val="single" w:color="CCCCCC" w:sz="1"/>
              <w:bottom w:val="single" w:color="CCCCCC" w:sz="1"/>
              <w:right w:val="single" w:color="CCCCCC" w:sz="1"/>
            </w:tcBorders>
            <w:shd w:fill="E6F4F4" w:val="clear"/>
            <w:tcMar>
              <w:top w:type="dxa" w:w="120"/>
              <w:left w:type="dxa" w:w="200"/>
              <w:bottom w:type="dxa" w:w="120"/>
              <w:right w:type="dxa" w:w="200"/>
            </w:tcMar>
          </w:tcPr>
          <w:p>
            <w:r>
              <w:rPr>
                <w:rFonts w:ascii="Arial" w:cs="Arial" w:eastAsia="Arial" w:hAnsi="Arial"/>
                <w:i/>
                <w:iCs/>
                <w:color w:val="0D2340"/>
                <w:sz w:val="20"/>
                <w:szCs w:val="20"/>
              </w:rPr>
              <w:t xml:space="preserve">The absence of a perfect single comparable is not a weakness in the valuation — it reflects the scope and ambition of what GSCX is building, and is consistent with how infrastructure platforms of this nature are typically valued by institutional investors.</w:t>
            </w:r>
          </w:p>
        </w:tc>
      </w:tr>
    </w:tbl>
    <w:p>
      <w:pPr>
        <w:pBdr>
          <w:bottom w:val="single" w:color="1B7A7A" w:sz="4"/>
        </w:pBdr>
        <w:spacing w:after="180" w:before="180"/>
      </w:pPr>
    </w:p>
    <w:p>
      <w:pPr>
        <w:spacing w:after="120" w:before="340"/>
      </w:pPr>
      <w:r>
        <w:rPr>
          <w:rFonts w:ascii="Arial" w:cs="Arial" w:eastAsia="Arial" w:hAnsi="Arial"/>
          <w:b/>
          <w:bCs/>
          <w:color w:val="0D2340"/>
          <w:sz w:val="28"/>
          <w:szCs w:val="28"/>
        </w:rPr>
        <w:t xml:space="preserve">6.  Valuation Position</w:t>
      </w:r>
    </w:p>
    <w:p>
      <w:pPr>
        <w:spacing w:after="60" w:before="60"/>
        <w:jc w:val="left"/>
      </w:pPr>
      <w:r>
        <w:rPr>
          <w:rFonts w:ascii="Arial" w:cs="Arial" w:eastAsia="Arial" w:hAnsi="Arial"/>
          <w:b w:val="false"/>
          <w:bCs w:val="false"/>
          <w:i w:val="false"/>
          <w:iCs w:val="false"/>
          <w:color w:val="1A1A1A"/>
          <w:sz w:val="20"/>
          <w:szCs w:val="20"/>
        </w:rPr>
        <w:t xml:space="preserve">Taking the comparable evidence in aggregate:</w:t>
      </w:r>
    </w:p>
    <w:p>
      <w:pPr>
        <w:pStyle w:val="ListParagraph"/>
        <w:numPr>
          <w:ilvl w:val="0"/>
          <w:numId w:val="2"/>
        </w:numPr>
        <w:spacing w:after="40" w:before="40"/>
        <w:ind w:left="480" w:hanging="360"/>
      </w:pPr>
      <w:r>
        <w:rPr>
          <w:rFonts w:ascii="Arial" w:cs="Arial" w:eastAsia="Arial" w:hAnsi="Arial"/>
          <w:color w:val="1A1A1A"/>
          <w:sz w:val="20"/>
          <w:szCs w:val="20"/>
        </w:rPr>
        <w:t xml:space="preserve">GRVT raised at an implied pre-money of ~$95–100M (September 2025) with a narrower single-jurisdiction model and no trade finance component</w:t>
      </w:r>
    </w:p>
    <w:p>
      <w:pPr>
        <w:pStyle w:val="ListParagraph"/>
        <w:numPr>
          <w:ilvl w:val="0"/>
          <w:numId w:val="2"/>
        </w:numPr>
        <w:spacing w:after="40" w:before="40"/>
        <w:ind w:left="480" w:hanging="360"/>
      </w:pPr>
      <w:r>
        <w:rPr>
          <w:rFonts w:ascii="Arial" w:cs="Arial" w:eastAsia="Arial" w:hAnsi="Arial"/>
          <w:color w:val="1A1A1A"/>
          <w:sz w:val="20"/>
          <w:szCs w:val="20"/>
        </w:rPr>
        <w:t xml:space="preserve">Archax was confirmed at £150M (~$170M) at Series A (2022) on the strength of regulatory licences and IBM infrastructure alone, before meaningful revenue</w:t>
      </w:r>
    </w:p>
    <w:p>
      <w:pPr>
        <w:pStyle w:val="ListParagraph"/>
        <w:numPr>
          <w:ilvl w:val="0"/>
          <w:numId w:val="2"/>
        </w:numPr>
        <w:spacing w:after="40" w:before="40"/>
        <w:ind w:left="480" w:hanging="360"/>
      </w:pPr>
      <w:r>
        <w:rPr>
          <w:rFonts w:ascii="Arial" w:cs="Arial" w:eastAsia="Arial" w:hAnsi="Arial"/>
          <w:color w:val="1A1A1A"/>
          <w:sz w:val="20"/>
          <w:szCs w:val="20"/>
        </w:rPr>
        <w:t xml:space="preserve">GMEX attracted Deutsche Börse and SocGen at institutional capital levels for exchange infrastructure technology</w:t>
      </w:r>
    </w:p>
    <w:p>
      <w:pPr>
        <w:spacing w:after="60" w:before="80"/>
        <w:jc w:val="left"/>
      </w:pPr>
      <w:r>
        <w:rPr>
          <w:rFonts w:ascii="Arial" w:cs="Arial" w:eastAsia="Arial" w:hAnsi="Arial"/>
          <w:b w:val="false"/>
          <w:bCs w:val="false"/>
          <w:i w:val="false"/>
          <w:iCs w:val="false"/>
          <w:color w:val="1A1A1A"/>
          <w:sz w:val="20"/>
          <w:szCs w:val="20"/>
        </w:rPr>
        <w:t xml:space="preserve">GSCX's proposed pre-money valuation of £120.5M reflects:</w:t>
      </w:r>
    </w:p>
    <w:p>
      <w:pPr>
        <w:pStyle w:val="ListParagraph"/>
        <w:numPr>
          <w:ilvl w:val="0"/>
          <w:numId w:val="2"/>
        </w:numPr>
        <w:spacing w:after="40" w:before="40"/>
        <w:ind w:left="480" w:hanging="360"/>
      </w:pPr>
      <w:r>
        <w:rPr>
          <w:rFonts w:ascii="Arial" w:cs="Arial" w:eastAsia="Arial" w:hAnsi="Arial"/>
          <w:color w:val="1A1A1A"/>
          <w:sz w:val="20"/>
          <w:szCs w:val="20"/>
        </w:rPr>
        <w:t xml:space="preserve">A comparable range consistent with Archax's Series A (£150M) and GRVT's implied Series A (~£75–80M equivalent), appropriately positioned given GSCX's broader multi-hub architecture</w:t>
      </w:r>
    </w:p>
    <w:p>
      <w:pPr>
        <w:pStyle w:val="ListParagraph"/>
        <w:numPr>
          <w:ilvl w:val="0"/>
          <w:numId w:val="2"/>
        </w:numPr>
        <w:spacing w:after="40" w:before="40"/>
        <w:ind w:left="480" w:hanging="360"/>
      </w:pPr>
      <w:r>
        <w:rPr>
          <w:rFonts w:ascii="Arial" w:cs="Arial" w:eastAsia="Arial" w:hAnsi="Arial"/>
          <w:color w:val="1A1A1A"/>
          <w:sz w:val="20"/>
          <w:szCs w:val="20"/>
        </w:rPr>
        <w:t xml:space="preserve">A premium over GRVT's single-hub model, justified by GSCX's five-jurisdiction footprint, captive insurance integration, and MLETR-aligned trade finance thesis</w:t>
      </w:r>
    </w:p>
    <w:p>
      <w:pPr>
        <w:pStyle w:val="ListParagraph"/>
        <w:numPr>
          <w:ilvl w:val="0"/>
          <w:numId w:val="2"/>
        </w:numPr>
        <w:spacing w:after="40" w:before="40"/>
        <w:ind w:left="480" w:hanging="360"/>
      </w:pPr>
      <w:r>
        <w:rPr>
          <w:rFonts w:ascii="Arial" w:cs="Arial" w:eastAsia="Arial" w:hAnsi="Arial"/>
          <w:color w:val="1A1A1A"/>
          <w:sz w:val="20"/>
          <w:szCs w:val="20"/>
        </w:rPr>
        <w:t xml:space="preserve">A discount to Archax's confirmed £150M, reflecting GSCX's earlier regulatory stage and pre-commercial status</w:t>
      </w:r>
    </w:p>
    <w:p>
      <w:pPr>
        <w:pStyle w:val="ListParagraph"/>
        <w:numPr>
          <w:ilvl w:val="0"/>
          <w:numId w:val="2"/>
        </w:numPr>
        <w:spacing w:after="40" w:before="40"/>
        <w:ind w:left="480" w:hanging="360"/>
      </w:pPr>
      <w:r>
        <w:rPr>
          <w:rFonts w:ascii="Arial" w:cs="Arial" w:eastAsia="Arial" w:hAnsi="Arial"/>
          <w:color w:val="1A1A1A"/>
          <w:sz w:val="20"/>
          <w:szCs w:val="20"/>
        </w:rPr>
        <w:t xml:space="preserve">Consistency with market multiples for capital markets and institutional infrastructure platforms, where EV/Revenue medians of 15–18x on forward revenue are standard</w:t>
      </w:r>
    </w:p>
    <w:p>
      <w:pPr>
        <w:spacing w:after="80" w:before="100"/>
        <w:jc w:val="left"/>
      </w:pPr>
      <w:r>
        <w:rPr>
          <w:rFonts w:ascii="Arial" w:cs="Arial" w:eastAsia="Arial" w:hAnsi="Arial"/>
          <w:b w:val="false"/>
          <w:bCs w:val="false"/>
          <w:i w:val="false"/>
          <w:iCs w:val="false"/>
          <w:color w:val="1A1A1A"/>
          <w:sz w:val="20"/>
          <w:szCs w:val="20"/>
        </w:rPr>
        <w:t xml:space="preserve">The 15–20% discount extended to UCEA and its family office network represents an anchor investor recognition consistent with institutional practice for pre-commercial infrastructure rounds of this nature.</w:t>
      </w:r>
    </w:p>
    <w:p>
      <w:pPr>
        <w:pBdr>
          <w:bottom w:val="single" w:color="1B7A7A" w:sz="4"/>
        </w:pBdr>
        <w:spacing w:after="180" w:before="180"/>
      </w:pPr>
    </w:p>
    <w:p>
      <w:pPr>
        <w:spacing w:after="0" w:before="120"/>
        <w:jc w:val="left"/>
      </w:pPr>
      <w:r>
        <w:rPr>
          <w:rFonts w:ascii="Arial" w:cs="Arial" w:eastAsia="Arial" w:hAnsi="Arial"/>
          <w:b w:val="false"/>
          <w:bCs w:val="false"/>
          <w:i/>
          <w:iCs/>
          <w:color w:val="999999"/>
          <w:sz w:val="16"/>
          <w:szCs w:val="16"/>
        </w:rPr>
        <w:t xml:space="preserve">This document is confidential and prepared solely for the purposes of the GSCX Group Series A capital raise. Comparable company data is sourced from publicly available information including company announcements, regulatory filings, PitchBook, Tracxn, Ledger Insights, CoinDesk, The Block, and Premier Alts secondary market data, as of June 2026. Estimated valuations where not publicly confirmed are based on analyst consensus and sector multiples. This document does not constitute financial advice or a prospectus.</w:t>
      </w:r>
    </w:p>
    <w:sectPr>
      <w:pgSz w:w="12240" w:h="15840" w:orient="portrait"/>
      <w:pgMar w:top="1080" w:right="1080" w:bottom="1080" w:left="108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sz w:val="20"/>
        <w:szCs w:val="20"/>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2026-06-25T23:34:17.925Z</dcterms:created>
  <dcterms:modified xsi:type="dcterms:W3CDTF">2026-06-25T23:34:17.938Z</dcterms:modified>
</cp:coreProperties>
</file>

<file path=docProps/custom.xml><?xml version="1.0" encoding="utf-8"?>
<Properties xmlns="http://schemas.openxmlformats.org/officeDocument/2006/custom-properties" xmlns:vt="http://schemas.openxmlformats.org/officeDocument/2006/docPropsVTypes"/>
</file>