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4D0CB" w14:textId="43AA1C8B" w:rsidR="00006AA4" w:rsidRPr="00006AA4" w:rsidRDefault="00006AA4" w:rsidP="00006AA4">
      <w:pPr>
        <w:spacing w:after="120" w:line="240" w:lineRule="auto"/>
        <w:outlineLvl w:val="2"/>
        <w:rPr>
          <w:rFonts w:eastAsia="Times New Roman" w:cs="Arial"/>
          <w:b/>
          <w:bCs/>
          <w:color w:val="1F1F1F"/>
          <w:kern w:val="0"/>
          <w:sz w:val="32"/>
          <w:szCs w:val="32"/>
          <w14:ligatures w14:val="none"/>
        </w:rPr>
      </w:pPr>
      <w:r w:rsidRPr="00006AA4">
        <w:rPr>
          <w:rFonts w:eastAsia="Times New Roman" w:cs="Arial"/>
          <w:b/>
          <w:bCs/>
          <w:color w:val="1F1F1F"/>
          <w:kern w:val="0"/>
          <w:sz w:val="32"/>
          <w:szCs w:val="32"/>
          <w:bdr w:val="none" w:sz="0" w:space="0" w:color="auto" w:frame="1"/>
          <w14:ligatures w14:val="none"/>
        </w:rPr>
        <w:t>FUNCTIONAL DESCRIPTION: GSCX CAPTIVE INSURANCE COMPANY</w:t>
      </w:r>
    </w:p>
    <w:p w14:paraId="4BDADF66" w14:textId="77777777" w:rsidR="00006AA4" w:rsidRPr="00006AA4" w:rsidRDefault="00006AA4" w:rsidP="00006AA4">
      <w:pPr>
        <w:spacing w:after="12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The </w:t>
      </w:r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GSCX Captive</w:t>
      </w: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is a sophisticated, technology-enabled "Internal Insurer" designed to manage the unique risk profile of a multi-jurisdictional digital asset group. Unlike traditional insurance that relies on manual claims, this Captive utilizes a </w:t>
      </w:r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Parametric Architecture</w:t>
      </w: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>, where predefined technical triggers (e.g., a "Member Default" on the MTF) initiate automated indemnity payments.</w:t>
      </w:r>
    </w:p>
    <w:p w14:paraId="2B482D53" w14:textId="77777777" w:rsidR="00006AA4" w:rsidRPr="00006AA4" w:rsidRDefault="00006AA4" w:rsidP="00006AA4">
      <w:pPr>
        <w:spacing w:before="120" w:after="120" w:line="240" w:lineRule="auto"/>
        <w:outlineLvl w:val="2"/>
        <w:rPr>
          <w:rFonts w:eastAsia="Times New Roman" w:cs="Arial"/>
          <w:b/>
          <w:bCs/>
          <w:color w:val="1F1F1F"/>
          <w:kern w:val="0"/>
          <w:sz w:val="28"/>
          <w:szCs w:val="28"/>
          <w14:ligatures w14:val="none"/>
        </w:rPr>
      </w:pPr>
      <w:r w:rsidRPr="00006AA4">
        <w:rPr>
          <w:rFonts w:eastAsia="Times New Roman" w:cs="Arial"/>
          <w:b/>
          <w:bCs/>
          <w:color w:val="1F1F1F"/>
          <w:kern w:val="0"/>
          <w:sz w:val="28"/>
          <w:szCs w:val="28"/>
          <w:bdr w:val="none" w:sz="0" w:space="0" w:color="auto" w:frame="1"/>
          <w14:ligatures w14:val="none"/>
        </w:rPr>
        <w:t>1. Core Functional Pillars</w:t>
      </w:r>
    </w:p>
    <w:p w14:paraId="0AFFA219" w14:textId="77777777" w:rsidR="00006AA4" w:rsidRPr="00006AA4" w:rsidRDefault="00006AA4" w:rsidP="00006AA4">
      <w:pPr>
        <w:spacing w:after="12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>The Captive's operations are divided into three functional pillars that support the GSCX Group ecosystem.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9"/>
        <w:gridCol w:w="1991"/>
        <w:gridCol w:w="5284"/>
      </w:tblGrid>
      <w:tr w:rsidR="00006AA4" w:rsidRPr="00006AA4" w14:paraId="54D279A3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FA3D80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Pillar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16159E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Functional Objective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481820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Operational Mechanism</w:t>
            </w:r>
          </w:p>
        </w:tc>
      </w:tr>
      <w:tr w:rsidR="00006AA4" w:rsidRPr="00006AA4" w14:paraId="5249D09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913F47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Risk Orchestration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355132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Group-Wide Indemnity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78D32A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Centralizes Cyber, Financial Crime, and D&amp;O coverage for the UAE MTF, Bermuda Clearinghouse, and CSP.</w:t>
            </w:r>
          </w:p>
        </w:tc>
      </w:tr>
      <w:tr w:rsidR="00006AA4" w:rsidRPr="00006AA4" w14:paraId="7507581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D424FE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Surety &amp; Performance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9C12F2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Clearinghouse Safety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8F8C54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Provides "Performance Bonds" for MTF members. If a member fails to settle, the Captive pays the Clearinghouse to maintain market liquidity.</w:t>
            </w:r>
          </w:p>
        </w:tc>
      </w:tr>
      <w:tr w:rsidR="00006AA4" w:rsidRPr="00006AA4" w14:paraId="5ACCC0F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CC5C6D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Capital Transformation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02A03B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Market Risk-Transfer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C9E116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(Phase 2) Packages surety risks into </w:t>
            </w: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Tokenized Insurance Linked Securities (ILS)</w:t>
            </w:r>
            <w:r w:rsidRPr="00006AA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for institutional investors.</w:t>
            </w:r>
          </w:p>
        </w:tc>
      </w:tr>
    </w:tbl>
    <w:p w14:paraId="15C1F089" w14:textId="77777777" w:rsidR="00006AA4" w:rsidRPr="00006AA4" w:rsidRDefault="00006AA4" w:rsidP="00006AA4">
      <w:pPr>
        <w:spacing w:before="120" w:after="120" w:line="240" w:lineRule="auto"/>
        <w:outlineLvl w:val="2"/>
        <w:rPr>
          <w:rFonts w:eastAsia="Times New Roman" w:cs="Arial"/>
          <w:b/>
          <w:bCs/>
          <w:color w:val="1F1F1F"/>
          <w:kern w:val="0"/>
          <w:sz w:val="28"/>
          <w:szCs w:val="28"/>
          <w14:ligatures w14:val="none"/>
        </w:rPr>
      </w:pPr>
      <w:r w:rsidRPr="00006AA4">
        <w:rPr>
          <w:rFonts w:eastAsia="Times New Roman" w:cs="Arial"/>
          <w:b/>
          <w:bCs/>
          <w:color w:val="1F1F1F"/>
          <w:kern w:val="0"/>
          <w:sz w:val="28"/>
          <w:szCs w:val="28"/>
          <w:bdr w:val="none" w:sz="0" w:space="0" w:color="auto" w:frame="1"/>
          <w14:ligatures w14:val="none"/>
        </w:rPr>
        <w:t>2. Bespoke Functional Workflows</w:t>
      </w:r>
    </w:p>
    <w:p w14:paraId="4C35762F" w14:textId="77777777" w:rsidR="00006AA4" w:rsidRPr="00006AA4" w:rsidRDefault="00006AA4" w:rsidP="00006AA4">
      <w:pPr>
        <w:spacing w:after="120" w:line="240" w:lineRule="auto"/>
        <w:outlineLvl w:val="3"/>
        <w:rPr>
          <w:rFonts w:eastAsia="Times New Roman" w:cs="Arial"/>
          <w:b/>
          <w:bCs/>
          <w:color w:val="1F1F1F"/>
          <w:kern w:val="0"/>
          <w14:ligatures w14:val="none"/>
        </w:rPr>
      </w:pPr>
      <w:r w:rsidRPr="00006AA4">
        <w:rPr>
          <w:rFonts w:eastAsia="Times New Roman" w:cs="Arial"/>
          <w:b/>
          <w:bCs/>
          <w:color w:val="1F1F1F"/>
          <w:kern w:val="0"/>
          <w:bdr w:val="none" w:sz="0" w:space="0" w:color="auto" w:frame="1"/>
          <w14:ligatures w14:val="none"/>
        </w:rPr>
        <w:t>A. "Member Default" Automated Response</w:t>
      </w:r>
    </w:p>
    <w:p w14:paraId="3A03CEAD" w14:textId="77777777" w:rsidR="00006AA4" w:rsidRPr="00006AA4" w:rsidRDefault="00006AA4" w:rsidP="00006AA4">
      <w:pPr>
        <w:spacing w:after="12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When an MTF member defaults on their </w:t>
      </w:r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Surety Bond</w:t>
      </w: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or </w:t>
      </w:r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Cargo Liability Contract</w:t>
      </w: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>:</w:t>
      </w:r>
    </w:p>
    <w:p w14:paraId="3F1CA860" w14:textId="77777777" w:rsidR="00006AA4" w:rsidRPr="00006AA4" w:rsidRDefault="00006AA4" w:rsidP="00006AA4">
      <w:pPr>
        <w:numPr>
          <w:ilvl w:val="0"/>
          <w:numId w:val="1"/>
        </w:numPr>
        <w:spacing w:after="12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Trigger:</w:t>
      </w: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The MTF/Clearinghouse oracle detects a settlement failure.</w:t>
      </w:r>
    </w:p>
    <w:p w14:paraId="4974496F" w14:textId="77777777" w:rsidR="00006AA4" w:rsidRPr="00006AA4" w:rsidRDefault="00006AA4" w:rsidP="00006AA4">
      <w:pPr>
        <w:numPr>
          <w:ilvl w:val="0"/>
          <w:numId w:val="1"/>
        </w:numPr>
        <w:spacing w:after="12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Payment:</w:t>
      </w: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The Captive initiates a "Just-In-Time" drawdown from its capital pool.</w:t>
      </w:r>
    </w:p>
    <w:p w14:paraId="0D320A02" w14:textId="77777777" w:rsidR="00006AA4" w:rsidRPr="00006AA4" w:rsidRDefault="00006AA4" w:rsidP="00006AA4">
      <w:pPr>
        <w:numPr>
          <w:ilvl w:val="0"/>
          <w:numId w:val="1"/>
        </w:numPr>
        <w:spacing w:after="12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Fronting:</w:t>
      </w: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For high-value claims, the "Back-to-Back" treaty with a Tier 1 reinsurer (e.g., Hannover Re) provides an immediate cut-through payment to the Clearinghouse.</w:t>
      </w:r>
    </w:p>
    <w:p w14:paraId="53B6AAAB" w14:textId="77777777" w:rsidR="00006AA4" w:rsidRPr="00006AA4" w:rsidRDefault="00006AA4" w:rsidP="00006AA4">
      <w:pPr>
        <w:spacing w:after="120" w:line="240" w:lineRule="auto"/>
        <w:outlineLvl w:val="3"/>
        <w:rPr>
          <w:rFonts w:eastAsia="Times New Roman" w:cs="Arial"/>
          <w:b/>
          <w:bCs/>
          <w:color w:val="1F1F1F"/>
          <w:kern w:val="0"/>
          <w14:ligatures w14:val="none"/>
        </w:rPr>
      </w:pPr>
      <w:r w:rsidRPr="00006AA4">
        <w:rPr>
          <w:rFonts w:eastAsia="Times New Roman" w:cs="Arial"/>
          <w:b/>
          <w:bCs/>
          <w:color w:val="1F1F1F"/>
          <w:kern w:val="0"/>
          <w:bdr w:val="none" w:sz="0" w:space="0" w:color="auto" w:frame="1"/>
          <w14:ligatures w14:val="none"/>
        </w:rPr>
        <w:t>B. CSP Private Key "Safe-Harbor" Function</w:t>
      </w:r>
    </w:p>
    <w:p w14:paraId="21BE47F3" w14:textId="77777777" w:rsidR="00006AA4" w:rsidRPr="00006AA4" w:rsidRDefault="00006AA4" w:rsidP="00006AA4">
      <w:pPr>
        <w:spacing w:after="12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>The Captive provides a specialized "Cold-Storage Indemnity" for the Custodial Service Provider:</w:t>
      </w:r>
    </w:p>
    <w:p w14:paraId="1BDB0959" w14:textId="77777777" w:rsidR="00006AA4" w:rsidRPr="00006AA4" w:rsidRDefault="00006AA4" w:rsidP="00006AA4">
      <w:pPr>
        <w:numPr>
          <w:ilvl w:val="0"/>
          <w:numId w:val="2"/>
        </w:numPr>
        <w:spacing w:after="12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Key Compromise:</w:t>
      </w: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If a member private key is lost or corrupted, the Captive covers the recovery costs and any resulting downtime.</w:t>
      </w:r>
    </w:p>
    <w:p w14:paraId="3D026D87" w14:textId="77777777" w:rsidR="00006AA4" w:rsidRPr="00006AA4" w:rsidRDefault="00006AA4" w:rsidP="00006AA4">
      <w:pPr>
        <w:numPr>
          <w:ilvl w:val="0"/>
          <w:numId w:val="2"/>
        </w:numPr>
        <w:spacing w:after="12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Smart Contract Audit Link:</w:t>
      </w: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Premiums are adjusted dynamically based on the frequency of security audits performed on the </w:t>
      </w:r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IBM Mainframe</w:t>
      </w: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in Austin.</w:t>
      </w:r>
    </w:p>
    <w:p w14:paraId="2130B7DA" w14:textId="77777777" w:rsidR="00006AA4" w:rsidRPr="00006AA4" w:rsidRDefault="00006AA4" w:rsidP="00006AA4">
      <w:pPr>
        <w:spacing w:after="120" w:line="240" w:lineRule="auto"/>
        <w:outlineLvl w:val="3"/>
        <w:rPr>
          <w:rFonts w:eastAsia="Times New Roman" w:cs="Arial"/>
          <w:b/>
          <w:bCs/>
          <w:color w:val="1F1F1F"/>
          <w:kern w:val="0"/>
          <w14:ligatures w14:val="none"/>
        </w:rPr>
      </w:pPr>
      <w:r w:rsidRPr="00006AA4">
        <w:rPr>
          <w:rFonts w:eastAsia="Times New Roman" w:cs="Arial"/>
          <w:b/>
          <w:bCs/>
          <w:color w:val="1F1F1F"/>
          <w:kern w:val="0"/>
          <w:bdr w:val="none" w:sz="0" w:space="0" w:color="auto" w:frame="1"/>
          <w14:ligatures w14:val="none"/>
        </w:rPr>
        <w:t>C. Claims &amp; Payment Orchestration</w:t>
      </w:r>
    </w:p>
    <w:p w14:paraId="6509D792" w14:textId="77777777" w:rsidR="00006AA4" w:rsidRPr="00006AA4" w:rsidRDefault="00006AA4" w:rsidP="00006AA4">
      <w:pPr>
        <w:spacing w:after="12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lastRenderedPageBreak/>
        <w:t>The Captive functions as a "Financial Traffic Controller":</w:t>
      </w:r>
    </w:p>
    <w:p w14:paraId="459FF0C7" w14:textId="77777777" w:rsidR="00006AA4" w:rsidRPr="00006AA4" w:rsidRDefault="00006AA4" w:rsidP="00006AA4">
      <w:pPr>
        <w:numPr>
          <w:ilvl w:val="0"/>
          <w:numId w:val="3"/>
        </w:numPr>
        <w:spacing w:after="12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Claim Filing:</w:t>
      </w: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Automated filing for MTF-related trade discrepancies.</w:t>
      </w:r>
    </w:p>
    <w:p w14:paraId="23E4DBFC" w14:textId="77777777" w:rsidR="00006AA4" w:rsidRPr="00006AA4" w:rsidRDefault="00006AA4" w:rsidP="00006AA4">
      <w:pPr>
        <w:numPr>
          <w:ilvl w:val="0"/>
          <w:numId w:val="3"/>
        </w:numPr>
        <w:spacing w:after="12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Currency Flexibility:</w:t>
      </w: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Capable of collecting premiums and paying claims in </w:t>
      </w:r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Million GBP (</w:t>
      </w:r>
      <w:proofErr w:type="spellStart"/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mGBP</w:t>
      </w:r>
      <w:proofErr w:type="spellEnd"/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)</w:t>
      </w: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>, USD, or BMA-recognized stablecoins to minimize settlement friction.</w:t>
      </w:r>
    </w:p>
    <w:p w14:paraId="05DBA9CB" w14:textId="77777777" w:rsidR="00006AA4" w:rsidRPr="00006AA4" w:rsidRDefault="00006AA4" w:rsidP="00006AA4">
      <w:pPr>
        <w:spacing w:after="120" w:line="240" w:lineRule="auto"/>
        <w:outlineLvl w:val="2"/>
        <w:rPr>
          <w:rFonts w:eastAsia="Times New Roman" w:cs="Arial"/>
          <w:b/>
          <w:bCs/>
          <w:color w:val="1F1F1F"/>
          <w:kern w:val="0"/>
          <w:sz w:val="28"/>
          <w:szCs w:val="28"/>
          <w14:ligatures w14:val="none"/>
        </w:rPr>
      </w:pPr>
      <w:r w:rsidRPr="00006AA4">
        <w:rPr>
          <w:rFonts w:eastAsia="Times New Roman" w:cs="Arial"/>
          <w:b/>
          <w:bCs/>
          <w:color w:val="1F1F1F"/>
          <w:kern w:val="0"/>
          <w:sz w:val="28"/>
          <w:szCs w:val="28"/>
          <w:bdr w:val="none" w:sz="0" w:space="0" w:color="auto" w:frame="1"/>
          <w14:ligatures w14:val="none"/>
        </w:rPr>
        <w:t>3. Functional Evolution: Class IGB to Class IIGB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5"/>
        <w:gridCol w:w="2697"/>
        <w:gridCol w:w="2700"/>
      </w:tblGrid>
      <w:tr w:rsidR="00840B6F" w:rsidRPr="00006AA4" w14:paraId="1F88A742" w14:textId="77777777" w:rsidTr="00840B6F">
        <w:trPr>
          <w:tblHeader/>
          <w:tblCellSpacing w:w="15" w:type="dxa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0D77DC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Function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B5898E" w14:textId="51972669" w:rsidR="00906A1D" w:rsidRPr="00840B6F" w:rsidRDefault="00006AA4" w:rsidP="00906A1D">
            <w:pPr>
              <w:spacing w:after="120" w:line="240" w:lineRule="auto"/>
              <w:jc w:val="center"/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Class IGB</w:t>
            </w:r>
          </w:p>
          <w:p w14:paraId="3ABC05B8" w14:textId="70983AF5" w:rsidR="00006AA4" w:rsidRPr="00006AA4" w:rsidRDefault="00906A1D" w:rsidP="00906A1D">
            <w:pPr>
              <w:spacing w:after="120" w:line="240" w:lineRule="auto"/>
              <w:jc w:val="center"/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14:ligatures w14:val="none"/>
              </w:rPr>
            </w:pPr>
            <w:r w:rsidRPr="00840B6F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(</w:t>
            </w:r>
            <w:r w:rsidR="00006AA4"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Phase 1)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021AE1" w14:textId="2EA95812" w:rsidR="00906A1D" w:rsidRPr="00840B6F" w:rsidRDefault="00006AA4" w:rsidP="00906A1D">
            <w:pPr>
              <w:spacing w:after="120" w:line="240" w:lineRule="auto"/>
              <w:jc w:val="center"/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</w:pP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Class IIGB</w:t>
            </w:r>
          </w:p>
          <w:p w14:paraId="5A3432AB" w14:textId="1B1ABE45" w:rsidR="00006AA4" w:rsidRPr="00006AA4" w:rsidRDefault="00006AA4" w:rsidP="00906A1D">
            <w:pPr>
              <w:spacing w:after="120" w:line="240" w:lineRule="auto"/>
              <w:jc w:val="center"/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(Phase 2)</w:t>
            </w:r>
          </w:p>
        </w:tc>
      </w:tr>
      <w:tr w:rsidR="00840B6F" w:rsidRPr="00006AA4" w14:paraId="063F28C6" w14:textId="77777777" w:rsidTr="00840B6F">
        <w:trPr>
          <w:tblCellSpacing w:w="15" w:type="dxa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856059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Underwriting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CE1A37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Limited to GSCX internal affiliates.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D06853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Expanded to package 3rd-party MTF member risks.</w:t>
            </w:r>
          </w:p>
        </w:tc>
      </w:tr>
      <w:tr w:rsidR="00840B6F" w:rsidRPr="00006AA4" w14:paraId="0B1B4172" w14:textId="77777777" w:rsidTr="00840B6F">
        <w:trPr>
          <w:tblCellSpacing w:w="15" w:type="dxa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0BE7B5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Capital Source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C4D1F0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100% Parent Equity (GSCX Group UAE).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B6AD18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Hybrid: Equity + Capital Market (ILS) Investors.</w:t>
            </w:r>
          </w:p>
        </w:tc>
      </w:tr>
      <w:tr w:rsidR="00840B6F" w:rsidRPr="00006AA4" w14:paraId="4F91F4A1" w14:textId="77777777" w:rsidTr="00840B6F">
        <w:trPr>
          <w:tblCellSpacing w:w="15" w:type="dxa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AA7015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Reinsurance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9A9BEA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06AA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Faculative</w:t>
            </w:r>
            <w:proofErr w:type="spellEnd"/>
            <w:r w:rsidRPr="00006AA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(Case-by-case) support.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5C2206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Full-scale Treaty Reinsurance with an "A" rating.</w:t>
            </w:r>
          </w:p>
        </w:tc>
      </w:tr>
      <w:tr w:rsidR="00840B6F" w:rsidRPr="00006AA4" w14:paraId="2EAFC2A7" w14:textId="77777777" w:rsidTr="00840B6F">
        <w:trPr>
          <w:tblCellSpacing w:w="15" w:type="dxa"/>
        </w:trPr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62A406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Reporting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3B445C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High-frequency "Sandbox" reporting to BMA.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BA5084" w14:textId="77777777" w:rsidR="00006AA4" w:rsidRPr="00006AA4" w:rsidRDefault="00006AA4" w:rsidP="00006AA4">
            <w:pPr>
              <w:spacing w:after="120" w:line="240" w:lineRule="auto"/>
              <w:rPr>
                <w:rFonts w:eastAsia="Times New Roman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006AA4">
              <w:rPr>
                <w:rFonts w:eastAsia="Times New Roman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Standardized Statutory Financial Returns (SFR).</w:t>
            </w:r>
          </w:p>
        </w:tc>
      </w:tr>
    </w:tbl>
    <w:p w14:paraId="3D6215A9" w14:textId="77777777" w:rsidR="00006AA4" w:rsidRPr="00006AA4" w:rsidRDefault="00006AA4" w:rsidP="00006AA4">
      <w:pPr>
        <w:spacing w:before="120" w:after="120" w:line="240" w:lineRule="auto"/>
        <w:outlineLvl w:val="2"/>
        <w:rPr>
          <w:rFonts w:eastAsia="Times New Roman" w:cs="Arial"/>
          <w:b/>
          <w:bCs/>
          <w:color w:val="1F1F1F"/>
          <w:kern w:val="0"/>
          <w:sz w:val="28"/>
          <w:szCs w:val="28"/>
          <w14:ligatures w14:val="none"/>
        </w:rPr>
      </w:pPr>
      <w:r w:rsidRPr="00006AA4">
        <w:rPr>
          <w:rFonts w:eastAsia="Times New Roman" w:cs="Arial"/>
          <w:b/>
          <w:bCs/>
          <w:color w:val="1F1F1F"/>
          <w:kern w:val="0"/>
          <w:sz w:val="28"/>
          <w:szCs w:val="28"/>
          <w:bdr w:val="none" w:sz="0" w:space="0" w:color="auto" w:frame="1"/>
          <w14:ligatures w14:val="none"/>
        </w:rPr>
        <w:t>4. Technical Substance Summary</w:t>
      </w:r>
    </w:p>
    <w:p w14:paraId="76E5CA2F" w14:textId="77777777" w:rsidR="00006AA4" w:rsidRPr="00006AA4" w:rsidRDefault="00006AA4" w:rsidP="00006AA4">
      <w:pPr>
        <w:spacing w:after="12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The Captive’s "Mind and Management" is located in Bermuda, while its </w:t>
      </w:r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Claims Engine</w:t>
      </w: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is integrated with the </w:t>
      </w:r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ADGM-based MTF</w:t>
      </w: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 and the </w:t>
      </w:r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Austin-based Mainframe</w:t>
      </w: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 xml:space="preserve">. This ensures that while the risks are global, the regulatory oversight and capital reserves remain under the strictly regulated Bermuda </w:t>
      </w:r>
      <w:r w:rsidRPr="00006AA4">
        <w:rPr>
          <w:rFonts w:eastAsia="Times New Roman" w:cs="Arial"/>
          <w:b/>
          <w:bCs/>
          <w:color w:val="1F1F1F"/>
          <w:kern w:val="0"/>
          <w:sz w:val="22"/>
          <w:szCs w:val="22"/>
          <w:bdr w:val="none" w:sz="0" w:space="0" w:color="auto" w:frame="1"/>
          <w14:ligatures w14:val="none"/>
        </w:rPr>
        <w:t>Insurance Act 1978</w:t>
      </w: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>.</w:t>
      </w:r>
    </w:p>
    <w:p w14:paraId="4B2437D3" w14:textId="77777777" w:rsidR="00006AA4" w:rsidRPr="00006AA4" w:rsidRDefault="00006AA4" w:rsidP="00006AA4">
      <w:pPr>
        <w:spacing w:after="12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hyperlink r:id="rId5" w:tgtFrame="_blank" w:history="1">
        <w:r w:rsidRPr="00006AA4">
          <w:rPr>
            <w:rFonts w:eastAsia="Times New Roman" w:cs="Arial"/>
            <w:color w:val="0B57D0"/>
            <w:kern w:val="0"/>
            <w:sz w:val="22"/>
            <w:szCs w:val="22"/>
            <w:u w:val="single"/>
            <w:bdr w:val="none" w:sz="0" w:space="0" w:color="auto" w:frame="1"/>
            <w14:ligatures w14:val="none"/>
          </w:rPr>
          <w:t>Bermuda's Tokenization and Insurance-Linked Securities</w:t>
        </w:r>
      </w:hyperlink>
    </w:p>
    <w:p w14:paraId="477E63C2" w14:textId="77777777" w:rsidR="00006AA4" w:rsidRPr="00006AA4" w:rsidRDefault="00006AA4" w:rsidP="00006AA4">
      <w:pPr>
        <w:spacing w:after="120" w:line="240" w:lineRule="auto"/>
        <w:rPr>
          <w:rFonts w:eastAsia="Times New Roman" w:cs="Arial"/>
          <w:color w:val="1F1F1F"/>
          <w:kern w:val="0"/>
          <w:sz w:val="22"/>
          <w:szCs w:val="22"/>
          <w14:ligatures w14:val="none"/>
        </w:rPr>
      </w:pPr>
      <w:r w:rsidRPr="00006AA4">
        <w:rPr>
          <w:rFonts w:eastAsia="Times New Roman" w:cs="Arial"/>
          <w:color w:val="1F1F1F"/>
          <w:kern w:val="0"/>
          <w:sz w:val="22"/>
          <w:szCs w:val="22"/>
          <w14:ligatures w14:val="none"/>
        </w:rPr>
        <w:t>This video is highly relevant as it discusses the integration of digital assets and insurance-linked securities in Bermuda, which is the exact jurisdiction and structure we've designed for your GSCX Captive.</w:t>
      </w:r>
    </w:p>
    <w:p w14:paraId="13AA2BD0" w14:textId="77777777" w:rsidR="00A03483" w:rsidRPr="00006AA4" w:rsidRDefault="00A03483" w:rsidP="00006AA4">
      <w:pPr>
        <w:spacing w:after="120" w:line="240" w:lineRule="auto"/>
        <w:rPr>
          <w:sz w:val="22"/>
          <w:szCs w:val="22"/>
        </w:rPr>
      </w:pPr>
    </w:p>
    <w:sectPr w:rsidR="00A03483" w:rsidRPr="00006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47405"/>
    <w:multiLevelType w:val="multilevel"/>
    <w:tmpl w:val="89E2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98107E"/>
    <w:multiLevelType w:val="multilevel"/>
    <w:tmpl w:val="24C4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5E456B"/>
    <w:multiLevelType w:val="multilevel"/>
    <w:tmpl w:val="DF72C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8541501">
    <w:abstractNumId w:val="1"/>
  </w:num>
  <w:num w:numId="2" w16cid:durableId="1760642004">
    <w:abstractNumId w:val="0"/>
  </w:num>
  <w:num w:numId="3" w16cid:durableId="995381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OzMLQ0N7UwNzQwMjRX0lEKTi0uzszPAykwrAUAyBFiIiwAAAA="/>
  </w:docVars>
  <w:rsids>
    <w:rsidRoot w:val="00006AA4"/>
    <w:rsid w:val="00006AA4"/>
    <w:rsid w:val="0014777E"/>
    <w:rsid w:val="005020E7"/>
    <w:rsid w:val="00840B6F"/>
    <w:rsid w:val="00906A1D"/>
    <w:rsid w:val="0098613E"/>
    <w:rsid w:val="00A03483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26AB4"/>
  <w15:chartTrackingRefBased/>
  <w15:docId w15:val="{1F8363DD-B111-40A2-879A-3C82E230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6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6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6A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6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A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6A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6A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06A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A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A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A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A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A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6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6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6A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A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6A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A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A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AA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06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06AA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06A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KT2iiL8Un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3</cp:revision>
  <dcterms:created xsi:type="dcterms:W3CDTF">2026-02-27T16:06:00Z</dcterms:created>
  <dcterms:modified xsi:type="dcterms:W3CDTF">2026-02-27T16:12:00Z</dcterms:modified>
</cp:coreProperties>
</file>