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bCs/>
          <w:sz w:val="32"/>
          <w:szCs w:val="32"/>
        </w:rPr>
        <w:id w:val="-1598711730"/>
        <w:docPartObj>
          <w:docPartGallery w:val="Cover Pages"/>
          <w:docPartUnique/>
        </w:docPartObj>
      </w:sdtPr>
      <w:sdtContent>
        <w:p w14:paraId="1247FF24" w14:textId="43F28972" w:rsidR="00473A28" w:rsidRPr="00473A28" w:rsidRDefault="00473A28" w:rsidP="00473A28">
          <w:pPr>
            <w:rPr>
              <w:b/>
              <w:bCs/>
              <w:sz w:val="32"/>
              <w:szCs w:val="32"/>
            </w:rPr>
          </w:pPr>
          <w:r w:rsidRPr="00473A28">
            <w:rPr>
              <w:b/>
              <w:bCs/>
              <w:noProof/>
              <w:sz w:val="32"/>
              <w:szCs w:val="32"/>
            </w:rPr>
            <w:drawing>
              <wp:anchor distT="0" distB="0" distL="114300" distR="114300" simplePos="0" relativeHeight="251663360" behindDoc="0" locked="0" layoutInCell="1" allowOverlap="1" wp14:anchorId="6D773C0F" wp14:editId="66AD5EC1">
                <wp:simplePos x="0" y="0"/>
                <wp:positionH relativeFrom="column">
                  <wp:posOffset>-465640</wp:posOffset>
                </wp:positionH>
                <wp:positionV relativeFrom="paragraph">
                  <wp:posOffset>1568450</wp:posOffset>
                </wp:positionV>
                <wp:extent cx="3249454" cy="1828165"/>
                <wp:effectExtent l="0" t="0" r="8255" b="635"/>
                <wp:wrapNone/>
                <wp:docPr id="17026125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82236" cy="184660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657CB" w:rsidRPr="00A15B23">
            <w:rPr>
              <w:b/>
              <w:bCs/>
              <w:noProof/>
              <w:sz w:val="32"/>
              <w:szCs w:val="32"/>
            </w:rPr>
            <w:drawing>
              <wp:anchor distT="0" distB="0" distL="114300" distR="114300" simplePos="0" relativeHeight="251662336" behindDoc="0" locked="0" layoutInCell="1" allowOverlap="1" wp14:anchorId="6347A214" wp14:editId="1A4A09E7">
                <wp:simplePos x="0" y="0"/>
                <wp:positionH relativeFrom="column">
                  <wp:posOffset>-723900</wp:posOffset>
                </wp:positionH>
                <wp:positionV relativeFrom="paragraph">
                  <wp:posOffset>-683260</wp:posOffset>
                </wp:positionV>
                <wp:extent cx="1111250" cy="913096"/>
                <wp:effectExtent l="0" t="0" r="0" b="1905"/>
                <wp:wrapNone/>
                <wp:docPr id="4" name="Picture 3" descr="RACS&#10;&#10;AI-generated content may be incorrect.">
                  <a:extLst xmlns:a="http://schemas.openxmlformats.org/drawingml/2006/main">
                    <a:ext uri="{FF2B5EF4-FFF2-40B4-BE49-F238E27FC236}">
                      <a16:creationId xmlns:a16="http://schemas.microsoft.com/office/drawing/2014/main" id="{0DA9A133-F7BB-DFB6-0154-A57CCE93C6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RACS&#10;&#10;AI-generated content may be incorrect.">
                          <a:extLst>
                            <a:ext uri="{FF2B5EF4-FFF2-40B4-BE49-F238E27FC236}">
                              <a16:creationId xmlns:a16="http://schemas.microsoft.com/office/drawing/2014/main" id="{0DA9A133-F7BB-DFB6-0154-A57CCE93C66A}"/>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11250" cy="913096"/>
                        </a:xfrm>
                        <a:prstGeom prst="rect">
                          <a:avLst/>
                        </a:prstGeom>
                      </pic:spPr>
                    </pic:pic>
                  </a:graphicData>
                </a:graphic>
                <wp14:sizeRelH relativeFrom="margin">
                  <wp14:pctWidth>0</wp14:pctWidth>
                </wp14:sizeRelH>
                <wp14:sizeRelV relativeFrom="margin">
                  <wp14:pctHeight>0</wp14:pctHeight>
                </wp14:sizeRelV>
              </wp:anchor>
            </w:drawing>
          </w:r>
          <w:r w:rsidR="00A15B23">
            <w:rPr>
              <w:b/>
              <w:bCs/>
              <w:noProof/>
              <w:sz w:val="32"/>
              <w:szCs w:val="32"/>
            </w:rPr>
            <mc:AlternateContent>
              <mc:Choice Requires="wps">
                <w:drawing>
                  <wp:anchor distT="0" distB="0" distL="114300" distR="114300" simplePos="0" relativeHeight="251661312" behindDoc="0" locked="0" layoutInCell="1" allowOverlap="1" wp14:anchorId="7F52A8CA" wp14:editId="7F5366D6">
                    <wp:simplePos x="0" y="0"/>
                    <wp:positionH relativeFrom="column">
                      <wp:posOffset>5388610</wp:posOffset>
                    </wp:positionH>
                    <wp:positionV relativeFrom="paragraph">
                      <wp:posOffset>-647700</wp:posOffset>
                    </wp:positionV>
                    <wp:extent cx="1238250" cy="292100"/>
                    <wp:effectExtent l="0" t="0" r="0" b="0"/>
                    <wp:wrapNone/>
                    <wp:docPr id="313752221" name="Text Box 2"/>
                    <wp:cNvGraphicFramePr/>
                    <a:graphic xmlns:a="http://schemas.openxmlformats.org/drawingml/2006/main">
                      <a:graphicData uri="http://schemas.microsoft.com/office/word/2010/wordprocessingShape">
                        <wps:wsp>
                          <wps:cNvSpPr txBox="1"/>
                          <wps:spPr>
                            <a:xfrm>
                              <a:off x="0" y="0"/>
                              <a:ext cx="1238250" cy="292100"/>
                            </a:xfrm>
                            <a:prstGeom prst="rect">
                              <a:avLst/>
                            </a:prstGeom>
                            <a:solidFill>
                              <a:schemeClr val="lt1"/>
                            </a:solidFill>
                            <a:ln w="6350">
                              <a:noFill/>
                            </a:ln>
                          </wps:spPr>
                          <wps:txbx>
                            <w:txbxContent>
                              <w:p w14:paraId="15E5AC1F" w14:textId="6260BD86" w:rsidR="00A15B23" w:rsidRPr="00A15B23" w:rsidRDefault="00A15B23" w:rsidP="00A15B23">
                                <w:pPr>
                                  <w:jc w:val="center"/>
                                  <w:rPr>
                                    <w:b/>
                                    <w:bCs/>
                                    <w:color w:val="C00000"/>
                                    <w:sz w:val="28"/>
                                    <w:szCs w:val="28"/>
                                  </w:rPr>
                                </w:pPr>
                                <w:r w:rsidRPr="00A15B23">
                                  <w:rPr>
                                    <w:b/>
                                    <w:bCs/>
                                    <w:color w:val="C00000"/>
                                    <w:sz w:val="28"/>
                                    <w:szCs w:val="28"/>
                                  </w:rPr>
                                  <w:t>Confidential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52A8CA" id="_x0000_t202" coordsize="21600,21600" o:spt="202" path="m,l,21600r21600,l21600,xe">
                    <v:stroke joinstyle="miter"/>
                    <v:path gradientshapeok="t" o:connecttype="rect"/>
                  </v:shapetype>
                  <v:shape id="Text Box 2" o:spid="_x0000_s1026" type="#_x0000_t202" style="position:absolute;margin-left:424.3pt;margin-top:-51pt;width:97.5pt;height:2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" fillcolor="white [3201]" stroked="f" strokeweight=".5pt">
                    <v:textbox>
                      <w:txbxContent>
                        <w:p w14:paraId="15E5AC1F" w14:textId="6260BD86" w:rsidR="00A15B23" w:rsidRPr="00A15B23" w:rsidRDefault="00A15B23" w:rsidP="00A15B23">
                          <w:pPr>
                            <w:jc w:val="center"/>
                            <w:rPr>
                              <w:b/>
                              <w:bCs/>
                              <w:color w:val="C00000"/>
                              <w:sz w:val="28"/>
                              <w:szCs w:val="28"/>
                            </w:rPr>
                          </w:pPr>
                          <w:r w:rsidRPr="00A15B23">
                            <w:rPr>
                              <w:b/>
                              <w:bCs/>
                              <w:color w:val="C00000"/>
                              <w:sz w:val="28"/>
                              <w:szCs w:val="28"/>
                            </w:rPr>
                            <w:t>Confidential</w:t>
                          </w:r>
                        </w:p>
                      </w:txbxContent>
                    </v:textbox>
                  </v:shape>
                </w:pict>
              </mc:Fallback>
            </mc:AlternateContent>
          </w:r>
          <w:r w:rsidR="00E765CC">
            <w:rPr>
              <w:b/>
              <w:bCs/>
              <w:noProof/>
              <w:sz w:val="32"/>
              <w:szCs w:val="32"/>
            </w:rPr>
            <mc:AlternateContent>
              <mc:Choice Requires="wps">
                <w:drawing>
                  <wp:anchor distT="0" distB="0" distL="114300" distR="114300" simplePos="0" relativeHeight="251660288" behindDoc="0" locked="0" layoutInCell="1" allowOverlap="1" wp14:anchorId="46835DA1" wp14:editId="27917331">
                    <wp:simplePos x="0" y="0"/>
                    <wp:positionH relativeFrom="column">
                      <wp:posOffset>3206750</wp:posOffset>
                    </wp:positionH>
                    <wp:positionV relativeFrom="paragraph">
                      <wp:posOffset>4819650</wp:posOffset>
                    </wp:positionV>
                    <wp:extent cx="1993900" cy="1022350"/>
                    <wp:effectExtent l="0" t="0" r="6350" b="6350"/>
                    <wp:wrapNone/>
                    <wp:docPr id="2117406241" name="Text Box 1"/>
                    <wp:cNvGraphicFramePr/>
                    <a:graphic xmlns:a="http://schemas.openxmlformats.org/drawingml/2006/main">
                      <a:graphicData uri="http://schemas.microsoft.com/office/word/2010/wordprocessingShape">
                        <wps:wsp>
                          <wps:cNvSpPr txBox="1"/>
                          <wps:spPr>
                            <a:xfrm>
                              <a:off x="0" y="0"/>
                              <a:ext cx="1993900" cy="1022350"/>
                            </a:xfrm>
                            <a:prstGeom prst="rect">
                              <a:avLst/>
                            </a:prstGeom>
                            <a:solidFill>
                              <a:schemeClr val="lt1"/>
                            </a:solidFill>
                            <a:ln w="6350">
                              <a:noFill/>
                            </a:ln>
                          </wps:spPr>
                          <wps:txbx>
                            <w:txbxContent>
                              <w:p w14:paraId="5FE0DE8D" w14:textId="760858F5" w:rsidR="00E765CC" w:rsidRPr="00E765CC" w:rsidRDefault="00E765CC">
                                <w:pPr>
                                  <w:rPr>
                                    <w:sz w:val="20"/>
                                    <w:szCs w:val="20"/>
                                  </w:rPr>
                                </w:pPr>
                                <w:r w:rsidRPr="00E765CC">
                                  <w:rPr>
                                    <w:sz w:val="20"/>
                                    <w:szCs w:val="20"/>
                                  </w:rPr>
                                  <w:t>+</w:t>
                                </w:r>
                                <w:r>
                                  <w:rPr>
                                    <w:sz w:val="20"/>
                                    <w:szCs w:val="20"/>
                                  </w:rPr>
                                  <w:t>1</w:t>
                                </w:r>
                                <w:r w:rsidRPr="00E765CC">
                                  <w:rPr>
                                    <w:sz w:val="20"/>
                                    <w:szCs w:val="20"/>
                                  </w:rPr>
                                  <w:t>(212) 219-3251</w:t>
                                </w:r>
                              </w:p>
                              <w:p w14:paraId="545811E7" w14:textId="2A595B16" w:rsidR="00E765CC" w:rsidRPr="00E765CC" w:rsidRDefault="00E765CC">
                                <w:pPr>
                                  <w:rPr>
                                    <w:sz w:val="20"/>
                                    <w:szCs w:val="20"/>
                                  </w:rPr>
                                </w:pPr>
                                <w:hyperlink r:id="rId11" w:history="1">
                                  <w:r w:rsidRPr="00E765CC">
                                    <w:rPr>
                                      <w:rStyle w:val="Hyperlink"/>
                                      <w:sz w:val="20"/>
                                      <w:szCs w:val="20"/>
                                    </w:rPr>
                                    <w:t>mjermakyan@ravcap.com</w:t>
                                  </w:r>
                                </w:hyperlink>
                                <w:r w:rsidRPr="00E765CC">
                                  <w:rPr>
                                    <w:sz w:val="20"/>
                                    <w:szCs w:val="20"/>
                                  </w:rPr>
                                  <w:t xml:space="preserve"> </w:t>
                                </w:r>
                                <w:hyperlink r:id="rId12" w:history="1">
                                  <w:r w:rsidRPr="00E765CC">
                                    <w:rPr>
                                      <w:rStyle w:val="Hyperlink"/>
                                      <w:sz w:val="20"/>
                                      <w:szCs w:val="20"/>
                                    </w:rPr>
                                    <w:t>http://www.ravcap.com</w:t>
                                  </w:r>
                                </w:hyperlink>
                                <w:r w:rsidRPr="00E765CC">
                                  <w:rPr>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835DA1" id="Text Box 1" o:spid="_x0000_s1027" type="#_x0000_t202" style="position:absolute;margin-left:252.5pt;margin-top:379.5pt;width:157pt;height:8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" fillcolor="white [3201]" stroked="f" strokeweight=".5pt">
                    <v:textbox>
                      <w:txbxContent>
                        <w:p w14:paraId="5FE0DE8D" w14:textId="760858F5" w:rsidR="00E765CC" w:rsidRPr="00E765CC" w:rsidRDefault="00E765CC">
                          <w:pPr>
                            <w:rPr>
                              <w:sz w:val="20"/>
                              <w:szCs w:val="20"/>
                            </w:rPr>
                          </w:pPr>
                          <w:r w:rsidRPr="00E765CC">
                            <w:rPr>
                              <w:sz w:val="20"/>
                              <w:szCs w:val="20"/>
                            </w:rPr>
                            <w:t>+</w:t>
                          </w:r>
                          <w:r>
                            <w:rPr>
                              <w:sz w:val="20"/>
                              <w:szCs w:val="20"/>
                            </w:rPr>
                            <w:t>1</w:t>
                          </w:r>
                          <w:r w:rsidRPr="00E765CC">
                            <w:rPr>
                              <w:sz w:val="20"/>
                              <w:szCs w:val="20"/>
                            </w:rPr>
                            <w:t>(212) 219-3251</w:t>
                          </w:r>
                        </w:p>
                        <w:p w14:paraId="545811E7" w14:textId="2A595B16" w:rsidR="00E765CC" w:rsidRPr="00E765CC" w:rsidRDefault="00E765CC">
                          <w:pPr>
                            <w:rPr>
                              <w:sz w:val="20"/>
                              <w:szCs w:val="20"/>
                            </w:rPr>
                          </w:pPr>
                          <w:hyperlink r:id="rId13" w:history="1">
                            <w:r w:rsidRPr="00E765CC">
                              <w:rPr>
                                <w:rStyle w:val="Hyperlink"/>
                                <w:sz w:val="20"/>
                                <w:szCs w:val="20"/>
                              </w:rPr>
                              <w:t>mjermakyan@ravcap.com</w:t>
                            </w:r>
                          </w:hyperlink>
                          <w:r w:rsidRPr="00E765CC">
                            <w:rPr>
                              <w:sz w:val="20"/>
                              <w:szCs w:val="20"/>
                            </w:rPr>
                            <w:t xml:space="preserve"> </w:t>
                          </w:r>
                          <w:hyperlink r:id="rId14" w:history="1">
                            <w:r w:rsidRPr="00E765CC">
                              <w:rPr>
                                <w:rStyle w:val="Hyperlink"/>
                                <w:sz w:val="20"/>
                                <w:szCs w:val="20"/>
                              </w:rPr>
                              <w:t>http://www.ravcap.com</w:t>
                            </w:r>
                          </w:hyperlink>
                          <w:r w:rsidRPr="00E765CC">
                            <w:rPr>
                              <w:sz w:val="20"/>
                              <w:szCs w:val="20"/>
                            </w:rPr>
                            <w:t xml:space="preserve"> </w:t>
                          </w:r>
                        </w:p>
                      </w:txbxContent>
                    </v:textbox>
                  </v:shape>
                </w:pict>
              </mc:Fallback>
            </mc:AlternateContent>
          </w:r>
          <w:r w:rsidR="00821532" w:rsidRPr="00821532">
            <w:rPr>
              <w:b/>
              <w:bCs/>
              <w:noProof/>
              <w:sz w:val="32"/>
              <w:szCs w:val="32"/>
            </w:rPr>
            <mc:AlternateContent>
              <mc:Choice Requires="wps">
                <w:drawing>
                  <wp:anchor distT="0" distB="0" distL="114300" distR="114300" simplePos="0" relativeHeight="251659264" behindDoc="0" locked="0" layoutInCell="1" allowOverlap="1" wp14:anchorId="3C5FCC88" wp14:editId="423654D9">
                    <wp:simplePos x="0" y="0"/>
                    <wp:positionH relativeFrom="page">
                      <wp:align>center</wp:align>
                    </wp:positionH>
                    <wp:positionV relativeFrom="page">
                      <wp:align>center</wp:align>
                    </wp:positionV>
                    <wp:extent cx="1712890" cy="3840480"/>
                    <wp:effectExtent l="0" t="0" r="1270" b="0"/>
                    <wp:wrapNone/>
                    <wp:docPr id="138" name="Text Box 139"/>
                    <wp:cNvGraphicFramePr/>
                    <a:graphic xmlns:a="http://schemas.openxmlformats.org/drawingml/2006/main">
                      <a:graphicData uri="http://schemas.microsoft.com/office/word/2010/wordprocessingShape">
                        <wps:wsp>
                          <wps:cNvSpPr txBox="1"/>
                          <wps:spPr>
                            <a:xfrm>
                              <a:off x="0" y="0"/>
                              <a:ext cx="1712890" cy="3840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jc w:val="center"/>
                                  <w:tblBorders>
                                    <w:insideV w:val="single" w:sz="12" w:space="0" w:color="E97132" w:themeColor="accent2"/>
                                  </w:tblBorders>
                                  <w:tblCellMar>
                                    <w:top w:w="1296" w:type="dxa"/>
                                    <w:left w:w="360" w:type="dxa"/>
                                    <w:bottom w:w="1296" w:type="dxa"/>
                                    <w:right w:w="360" w:type="dxa"/>
                                  </w:tblCellMar>
                                  <w:tblLook w:val="04A0" w:firstRow="1" w:lastRow="0" w:firstColumn="1" w:lastColumn="0" w:noHBand="0" w:noVBand="1"/>
                                </w:tblPr>
                                <w:tblGrid>
                                  <w:gridCol w:w="2775"/>
                                  <w:gridCol w:w="2092"/>
                                </w:tblGrid>
                                <w:tr w:rsidR="00821532" w14:paraId="6E1720D7" w14:textId="77777777">
                                  <w:trPr>
                                    <w:jc w:val="center"/>
                                  </w:trPr>
                                  <w:tc>
                                    <w:tcPr>
                                      <w:tcW w:w="2568" w:type="pct"/>
                                      <w:vAlign w:val="center"/>
                                    </w:tcPr>
                                    <w:p w14:paraId="32C6D5C5" w14:textId="5228D68A" w:rsidR="00821532" w:rsidRDefault="00821532">
                                      <w:pPr>
                                        <w:jc w:val="right"/>
                                      </w:pPr>
                                    </w:p>
                                    <w:sdt>
                                      <w:sdtPr>
                                        <w:rPr>
                                          <w:b/>
                                          <w:bCs/>
                                          <w:sz w:val="36"/>
                                          <w:szCs w:val="36"/>
                                        </w:rPr>
                                        <w:alias w:val="Title"/>
                                        <w:tag w:val=""/>
                                        <w:id w:val="-438379639"/>
                                        <w:dataBinding w:prefixMappings="xmlns:ns0='http://purl.org/dc/elements/1.1/' xmlns:ns1='http://schemas.openxmlformats.org/package/2006/metadata/core-properties' " w:xpath="/ns1:coreProperties[1]/ns0:title[1]" w:storeItemID="{6C3C8BC8-F283-45AE-878A-BAB7291924A1}"/>
                                        <w:text/>
                                      </w:sdtPr>
                                      <w:sdtContent>
                                        <w:p w14:paraId="1103C760" w14:textId="04301B30" w:rsidR="00821532" w:rsidRDefault="00821532">
                                          <w:pPr>
                                            <w:pStyle w:val="NoSpacing"/>
                                            <w:spacing w:line="312" w:lineRule="auto"/>
                                            <w:jc w:val="right"/>
                                            <w:rPr>
                                              <w:caps/>
                                              <w:color w:val="191919" w:themeColor="text1" w:themeTint="E6"/>
                                              <w:sz w:val="72"/>
                                              <w:szCs w:val="72"/>
                                            </w:rPr>
                                          </w:pPr>
                                          <w:r w:rsidRPr="00A15B23">
                                            <w:rPr>
                                              <w:b/>
                                              <w:bCs/>
                                              <w:sz w:val="36"/>
                                              <w:szCs w:val="36"/>
                                            </w:rPr>
                                            <w:t>Global Secure Distribution and Disaster Recovery Architecture</w:t>
                                          </w:r>
                                        </w:p>
                                      </w:sdtContent>
                                    </w:sdt>
                                    <w:sdt>
                                      <w:sdtPr>
                                        <w:rPr>
                                          <w:color w:val="000000" w:themeColor="text1"/>
                                          <w:sz w:val="22"/>
                                          <w:szCs w:val="22"/>
                                        </w:rPr>
                                        <w:alias w:val="Subtitle"/>
                                        <w:tag w:val=""/>
                                        <w:id w:val="1354072561"/>
                                        <w:dataBinding w:prefixMappings="xmlns:ns0='http://purl.org/dc/elements/1.1/' xmlns:ns1='http://schemas.openxmlformats.org/package/2006/metadata/core-properties' " w:xpath="/ns1:coreProperties[1]/ns0:subject[1]" w:storeItemID="{6C3C8BC8-F283-45AE-878A-BAB7291924A1}"/>
                                        <w:text/>
                                      </w:sdtPr>
                                      <w:sdtContent>
                                        <w:p w14:paraId="59047B6D" w14:textId="1CBBCAD5" w:rsidR="00821532" w:rsidRDefault="00C27AE8">
                                          <w:pPr>
                                            <w:jc w:val="right"/>
                                          </w:pPr>
                                          <w:r>
                                            <w:rPr>
                                              <w:color w:val="000000" w:themeColor="text1"/>
                                              <w:sz w:val="22"/>
                                              <w:szCs w:val="22"/>
                                            </w:rPr>
                                            <w:t>GSCX Group’s Bermuda-headquartered                   Digital Asset Business</w:t>
                                          </w:r>
                                        </w:p>
                                      </w:sdtContent>
                                    </w:sdt>
                                  </w:tc>
                                  <w:tc>
                                    <w:tcPr>
                                      <w:tcW w:w="2432" w:type="pct"/>
                                      <w:vAlign w:val="center"/>
                                    </w:tcPr>
                                    <w:p w14:paraId="1BFFDE5D" w14:textId="77777777" w:rsidR="00821532" w:rsidRDefault="00821532">
                                      <w:pPr>
                                        <w:pStyle w:val="NoSpacing"/>
                                        <w:rPr>
                                          <w:caps/>
                                          <w:color w:val="E97132" w:themeColor="accent2"/>
                                          <w:sz w:val="26"/>
                                          <w:szCs w:val="26"/>
                                        </w:rPr>
                                      </w:pPr>
                                      <w:r>
                                        <w:rPr>
                                          <w:caps/>
                                          <w:color w:val="E97132" w:themeColor="accent2"/>
                                          <w:sz w:val="26"/>
                                          <w:szCs w:val="26"/>
                                        </w:rPr>
                                        <w:t>Abstract</w:t>
                                      </w:r>
                                    </w:p>
                                    <w:sdt>
                                      <w:sdtPr>
                                        <w:rPr>
                                          <w:kern w:val="0"/>
                                          <w:sz w:val="22"/>
                                          <w:szCs w:val="22"/>
                                          <w14:ligatures w14:val="none"/>
                                        </w:rPr>
                                        <w:alias w:val="Abstract"/>
                                        <w:tag w:val=""/>
                                        <w:id w:val="-2036181933"/>
                                        <w:dataBinding w:prefixMappings="xmlns:ns0='http://schemas.microsoft.com/office/2006/coverPageProps' " w:xpath="/ns0:CoverPageProperties[1]/ns0:Abstract[1]" w:storeItemID="{55AF091B-3C7A-41E3-B477-F2FDAA23CFDA}"/>
                                        <w:text/>
                                      </w:sdtPr>
                                      <w:sdtContent>
                                        <w:p w14:paraId="4202607D" w14:textId="1220FA1A" w:rsidR="00821532" w:rsidRDefault="00821532">
                                          <w:pPr>
                                            <w:rPr>
                                              <w:color w:val="000000" w:themeColor="text1"/>
                                            </w:rPr>
                                          </w:pPr>
                                          <w:r>
                                            <w:rPr>
                                              <w:kern w:val="0"/>
                                              <w:sz w:val="22"/>
                                              <w:szCs w:val="22"/>
                                              <w14:ligatures w14:val="none"/>
                                            </w:rPr>
                                            <w:t>This document outlines GSCX Group’s h</w:t>
                                          </w:r>
                                          <w:r w:rsidRPr="00821532">
                                            <w:rPr>
                                              <w:kern w:val="0"/>
                                              <w:sz w:val="22"/>
                                              <w:szCs w:val="22"/>
                                              <w14:ligatures w14:val="none"/>
                                            </w:rPr>
                                            <w:t>ybrid mainframe-to-cloud architecture and the resilience strategy</w:t>
                                          </w:r>
                                          <w:r>
                                            <w:rPr>
                                              <w:kern w:val="0"/>
                                              <w:sz w:val="22"/>
                                              <w:szCs w:val="22"/>
                                              <w14:ligatures w14:val="none"/>
                                            </w:rPr>
                                            <w:t xml:space="preserve"> with a</w:t>
                                          </w:r>
                                          <w:r w:rsidRPr="00EE2774">
                                            <w:rPr>
                                              <w:kern w:val="0"/>
                                              <w:sz w:val="22"/>
                                              <w:szCs w:val="22"/>
                                              <w14:ligatures w14:val="none"/>
                                            </w:rPr>
                                            <w:t xml:space="preserve"> Tri-Node, Dual-mode</w:t>
                                          </w:r>
                                          <w:r>
                                            <w:rPr>
                                              <w:kern w:val="0"/>
                                              <w:sz w:val="22"/>
                                              <w:szCs w:val="22"/>
                                              <w14:ligatures w14:val="none"/>
                                            </w:rPr>
                                            <w:t>,</w:t>
                                          </w:r>
                                          <w:r w:rsidRPr="00EE2774">
                                            <w:rPr>
                                              <w:kern w:val="0"/>
                                              <w:sz w:val="22"/>
                                              <w:szCs w:val="22"/>
                                              <w14:ligatures w14:val="none"/>
                                            </w:rPr>
                                            <w:t xml:space="preserve"> </w:t>
                                          </w:r>
                                          <w:r w:rsidR="00F02DF8">
                                            <w:rPr>
                                              <w:kern w:val="0"/>
                                              <w:sz w:val="22"/>
                                              <w:szCs w:val="22"/>
                                              <w14:ligatures w14:val="none"/>
                                            </w:rPr>
                                            <w:t>s</w:t>
                                          </w:r>
                                          <w:r w:rsidRPr="00EE2774">
                                            <w:rPr>
                                              <w:kern w:val="0"/>
                                              <w:sz w:val="22"/>
                                              <w:szCs w:val="22"/>
                                              <w14:ligatures w14:val="none"/>
                                            </w:rPr>
                                            <w:t>overeign Infrastructure, employ</w:t>
                                          </w:r>
                                          <w:r>
                                            <w:rPr>
                                              <w:kern w:val="0"/>
                                              <w:sz w:val="22"/>
                                              <w:szCs w:val="22"/>
                                              <w14:ligatures w14:val="none"/>
                                            </w:rPr>
                                            <w:t>ing</w:t>
                                          </w:r>
                                          <w:r w:rsidRPr="00EE2774">
                                            <w:rPr>
                                              <w:kern w:val="0"/>
                                              <w:sz w:val="22"/>
                                              <w:szCs w:val="22"/>
                                              <w14:ligatures w14:val="none"/>
                                            </w:rPr>
                                            <w:t xml:space="preserve"> a "</w:t>
                                          </w:r>
                                          <w:r>
                                            <w:rPr>
                                              <w:kern w:val="0"/>
                                              <w:sz w:val="22"/>
                                              <w:szCs w:val="22"/>
                                              <w14:ligatures w14:val="none"/>
                                            </w:rPr>
                                            <w:t>d</w:t>
                                          </w:r>
                                          <w:r w:rsidRPr="00EE2774">
                                            <w:rPr>
                                              <w:kern w:val="0"/>
                                              <w:sz w:val="22"/>
                                              <w:szCs w:val="22"/>
                                              <w14:ligatures w14:val="none"/>
                                            </w:rPr>
                                            <w:t xml:space="preserve">ecoupled </w:t>
                                          </w:r>
                                          <w:r>
                                            <w:rPr>
                                              <w:kern w:val="0"/>
                                              <w:sz w:val="22"/>
                                              <w:szCs w:val="22"/>
                                              <w14:ligatures w14:val="none"/>
                                            </w:rPr>
                                            <w:t>l</w:t>
                                          </w:r>
                                          <w:r w:rsidRPr="00EE2774">
                                            <w:rPr>
                                              <w:kern w:val="0"/>
                                              <w:sz w:val="22"/>
                                              <w:szCs w:val="22"/>
                                              <w14:ligatures w14:val="none"/>
                                            </w:rPr>
                                            <w:t xml:space="preserve">ogic" model to eliminate </w:t>
                                          </w:r>
                                          <w:r w:rsidR="00F02DF8">
                                            <w:rPr>
                                              <w:kern w:val="0"/>
                                              <w:sz w:val="22"/>
                                              <w:szCs w:val="22"/>
                                              <w14:ligatures w14:val="none"/>
                                            </w:rPr>
                                            <w:t>the opportunities of jurisdictional “long-arm” outreach</w:t>
                                          </w:r>
                                          <w:r>
                                            <w:rPr>
                                              <w:kern w:val="0"/>
                                              <w:sz w:val="22"/>
                                              <w:szCs w:val="22"/>
                                              <w14:ligatures w14:val="none"/>
                                            </w:rPr>
                                            <w:t>, and ensure data and operational security.</w:t>
                                          </w:r>
                                        </w:p>
                                      </w:sdtContent>
                                    </w:sdt>
                                    <w:sdt>
                                      <w:sdtPr>
                                        <w:rPr>
                                          <w:color w:val="E97132" w:themeColor="accent2"/>
                                          <w:sz w:val="26"/>
                                          <w:szCs w:val="26"/>
                                        </w:rPr>
                                        <w:alias w:val="Author"/>
                                        <w:tag w:val=""/>
                                        <w:id w:val="-279026076"/>
                                        <w:dataBinding w:prefixMappings="xmlns:ns0='http://purl.org/dc/elements/1.1/' xmlns:ns1='http://schemas.openxmlformats.org/package/2006/metadata/core-properties' " w:xpath="/ns1:coreProperties[1]/ns0:creator[1]" w:storeItemID="{6C3C8BC8-F283-45AE-878A-BAB7291924A1}"/>
                                        <w:text/>
                                      </w:sdtPr>
                                      <w:sdtContent>
                                        <w:p w14:paraId="703C78EB" w14:textId="73F7E411" w:rsidR="00821532" w:rsidRDefault="00A15B23">
                                          <w:pPr>
                                            <w:pStyle w:val="NoSpacing"/>
                                            <w:rPr>
                                              <w:color w:val="E97132" w:themeColor="accent2"/>
                                              <w:sz w:val="26"/>
                                              <w:szCs w:val="26"/>
                                            </w:rPr>
                                          </w:pPr>
                                          <w:r>
                                            <w:rPr>
                                              <w:color w:val="E97132" w:themeColor="accent2"/>
                                              <w:sz w:val="26"/>
                                              <w:szCs w:val="26"/>
                                            </w:rPr>
                                            <w:t xml:space="preserve">By </w:t>
                                          </w:r>
                                          <w:r w:rsidR="00821532">
                                            <w:rPr>
                                              <w:color w:val="E97132" w:themeColor="accent2"/>
                                              <w:sz w:val="26"/>
                                              <w:szCs w:val="26"/>
                                            </w:rPr>
                                            <w:t>Martin Jermakyan</w:t>
                                          </w:r>
                                        </w:p>
                                      </w:sdtContent>
                                    </w:sdt>
                                    <w:p w14:paraId="5AF7C395" w14:textId="3B75C59A" w:rsidR="00821532" w:rsidRDefault="00821532">
                                      <w:pPr>
                                        <w:pStyle w:val="NoSpacing"/>
                                      </w:pPr>
                                    </w:p>
                                  </w:tc>
                                </w:tr>
                              </w:tbl>
                              <w:p w14:paraId="0853BFA9" w14:textId="77777777" w:rsidR="00821532" w:rsidRDefault="00821532"/>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 w14:anchorId="3C5FCC88" id="Text Box 139" o:spid="_x0000_s1028" type="#_x0000_t202" style="position:absolute;margin-left:0;margin-top:0;width:134.85pt;height:302.4pt;z-index:251659264;visibility:visible;mso-wrap-style:square;mso-width-percent:941;mso-height-percent:773;mso-wrap-distance-left:9pt;mso-wrap-distance-top:0;mso-wrap-distance-right:9pt;mso-wrap-distance-bottom:0;mso-position-horizontal:center;mso-position-horizontal-relative:page;mso-position-vertical:center;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" fillcolor="white [3201]" stroked="f" strokeweight=".5pt">
                    <v:textbox inset="0,0,0,0">
                      <w:txbxContent>
                        <w:tbl>
                          <w:tblPr>
                            <w:tblW w:w="5000" w:type="pct"/>
                            <w:jc w:val="center"/>
                            <w:tblBorders>
                              <w:insideV w:val="single" w:sz="12" w:space="0" w:color="E97132" w:themeColor="accent2"/>
                            </w:tblBorders>
                            <w:tblCellMar>
                              <w:top w:w="1296" w:type="dxa"/>
                              <w:left w:w="360" w:type="dxa"/>
                              <w:bottom w:w="1296" w:type="dxa"/>
                              <w:right w:w="360" w:type="dxa"/>
                            </w:tblCellMar>
                            <w:tblLook w:val="04A0" w:firstRow="1" w:lastRow="0" w:firstColumn="1" w:lastColumn="0" w:noHBand="0" w:noVBand="1"/>
                          </w:tblPr>
                          <w:tblGrid>
                            <w:gridCol w:w="2775"/>
                            <w:gridCol w:w="2092"/>
                          </w:tblGrid>
                          <w:tr w:rsidR="00821532" w14:paraId="6E1720D7" w14:textId="77777777">
                            <w:trPr>
                              <w:jc w:val="center"/>
                            </w:trPr>
                            <w:tc>
                              <w:tcPr>
                                <w:tcW w:w="2568" w:type="pct"/>
                                <w:vAlign w:val="center"/>
                              </w:tcPr>
                              <w:p w14:paraId="32C6D5C5" w14:textId="5228D68A" w:rsidR="00821532" w:rsidRDefault="00821532">
                                <w:pPr>
                                  <w:jc w:val="right"/>
                                </w:pPr>
                              </w:p>
                              <w:sdt>
                                <w:sdtPr>
                                  <w:rPr>
                                    <w:b/>
                                    <w:bCs/>
                                    <w:sz w:val="36"/>
                                    <w:szCs w:val="36"/>
                                  </w:rPr>
                                  <w:alias w:val="Title"/>
                                  <w:tag w:val=""/>
                                  <w:id w:val="-438379639"/>
                                  <w:dataBinding w:prefixMappings="xmlns:ns0='http://purl.org/dc/elements/1.1/' xmlns:ns1='http://schemas.openxmlformats.org/package/2006/metadata/core-properties' " w:xpath="/ns1:coreProperties[1]/ns0:title[1]" w:storeItemID="{6C3C8BC8-F283-45AE-878A-BAB7291924A1}"/>
                                  <w:text/>
                                </w:sdtPr>
                                <w:sdtContent>
                                  <w:p w14:paraId="1103C760" w14:textId="04301B30" w:rsidR="00821532" w:rsidRDefault="00821532">
                                    <w:pPr>
                                      <w:pStyle w:val="NoSpacing"/>
                                      <w:spacing w:line="312" w:lineRule="auto"/>
                                      <w:jc w:val="right"/>
                                      <w:rPr>
                                        <w:caps/>
                                        <w:color w:val="191919" w:themeColor="text1" w:themeTint="E6"/>
                                        <w:sz w:val="72"/>
                                        <w:szCs w:val="72"/>
                                      </w:rPr>
                                    </w:pPr>
                                    <w:r w:rsidRPr="00A15B23">
                                      <w:rPr>
                                        <w:b/>
                                        <w:bCs/>
                                        <w:sz w:val="36"/>
                                        <w:szCs w:val="36"/>
                                      </w:rPr>
                                      <w:t>Global Secure Distribution and Disaster Recovery Architecture</w:t>
                                    </w:r>
                                  </w:p>
                                </w:sdtContent>
                              </w:sdt>
                              <w:sdt>
                                <w:sdtPr>
                                  <w:rPr>
                                    <w:color w:val="000000" w:themeColor="text1"/>
                                    <w:sz w:val="22"/>
                                    <w:szCs w:val="22"/>
                                  </w:rPr>
                                  <w:alias w:val="Subtitle"/>
                                  <w:tag w:val=""/>
                                  <w:id w:val="1354072561"/>
                                  <w:dataBinding w:prefixMappings="xmlns:ns0='http://purl.org/dc/elements/1.1/' xmlns:ns1='http://schemas.openxmlformats.org/package/2006/metadata/core-properties' " w:xpath="/ns1:coreProperties[1]/ns0:subject[1]" w:storeItemID="{6C3C8BC8-F283-45AE-878A-BAB7291924A1}"/>
                                  <w:text/>
                                </w:sdtPr>
                                <w:sdtContent>
                                  <w:p w14:paraId="59047B6D" w14:textId="1CBBCAD5" w:rsidR="00821532" w:rsidRDefault="00C27AE8">
                                    <w:pPr>
                                      <w:jc w:val="right"/>
                                    </w:pPr>
                                    <w:r>
                                      <w:rPr>
                                        <w:color w:val="000000" w:themeColor="text1"/>
                                        <w:sz w:val="22"/>
                                        <w:szCs w:val="22"/>
                                      </w:rPr>
                                      <w:t>GSCX Group’s Bermuda-headquartered                   Digital Asset Business</w:t>
                                    </w:r>
                                  </w:p>
                                </w:sdtContent>
                              </w:sdt>
                            </w:tc>
                            <w:tc>
                              <w:tcPr>
                                <w:tcW w:w="2432" w:type="pct"/>
                                <w:vAlign w:val="center"/>
                              </w:tcPr>
                              <w:p w14:paraId="1BFFDE5D" w14:textId="77777777" w:rsidR="00821532" w:rsidRDefault="00821532">
                                <w:pPr>
                                  <w:pStyle w:val="NoSpacing"/>
                                  <w:rPr>
                                    <w:caps/>
                                    <w:color w:val="E97132" w:themeColor="accent2"/>
                                    <w:sz w:val="26"/>
                                    <w:szCs w:val="26"/>
                                  </w:rPr>
                                </w:pPr>
                                <w:r>
                                  <w:rPr>
                                    <w:caps/>
                                    <w:color w:val="E97132" w:themeColor="accent2"/>
                                    <w:sz w:val="26"/>
                                    <w:szCs w:val="26"/>
                                  </w:rPr>
                                  <w:t>Abstract</w:t>
                                </w:r>
                              </w:p>
                              <w:sdt>
                                <w:sdtPr>
                                  <w:rPr>
                                    <w:kern w:val="0"/>
                                    <w:sz w:val="22"/>
                                    <w:szCs w:val="22"/>
                                    <w14:ligatures w14:val="none"/>
                                  </w:rPr>
                                  <w:alias w:val="Abstract"/>
                                  <w:tag w:val=""/>
                                  <w:id w:val="-2036181933"/>
                                  <w:dataBinding w:prefixMappings="xmlns:ns0='http://schemas.microsoft.com/office/2006/coverPageProps' " w:xpath="/ns0:CoverPageProperties[1]/ns0:Abstract[1]" w:storeItemID="{55AF091B-3C7A-41E3-B477-F2FDAA23CFDA}"/>
                                  <w:text/>
                                </w:sdtPr>
                                <w:sdtContent>
                                  <w:p w14:paraId="4202607D" w14:textId="1220FA1A" w:rsidR="00821532" w:rsidRDefault="00821532">
                                    <w:pPr>
                                      <w:rPr>
                                        <w:color w:val="000000" w:themeColor="text1"/>
                                      </w:rPr>
                                    </w:pPr>
                                    <w:r>
                                      <w:rPr>
                                        <w:kern w:val="0"/>
                                        <w:sz w:val="22"/>
                                        <w:szCs w:val="22"/>
                                        <w14:ligatures w14:val="none"/>
                                      </w:rPr>
                                      <w:t>This document outlines GSCX Group’s h</w:t>
                                    </w:r>
                                    <w:r w:rsidRPr="00821532">
                                      <w:rPr>
                                        <w:kern w:val="0"/>
                                        <w:sz w:val="22"/>
                                        <w:szCs w:val="22"/>
                                        <w14:ligatures w14:val="none"/>
                                      </w:rPr>
                                      <w:t>ybrid mainframe-to-cloud architecture and the resilience strategy</w:t>
                                    </w:r>
                                    <w:r>
                                      <w:rPr>
                                        <w:kern w:val="0"/>
                                        <w:sz w:val="22"/>
                                        <w:szCs w:val="22"/>
                                        <w14:ligatures w14:val="none"/>
                                      </w:rPr>
                                      <w:t xml:space="preserve"> with a</w:t>
                                    </w:r>
                                    <w:r w:rsidRPr="00EE2774">
                                      <w:rPr>
                                        <w:kern w:val="0"/>
                                        <w:sz w:val="22"/>
                                        <w:szCs w:val="22"/>
                                        <w14:ligatures w14:val="none"/>
                                      </w:rPr>
                                      <w:t xml:space="preserve"> Tri-Node, Dual-mode</w:t>
                                    </w:r>
                                    <w:r>
                                      <w:rPr>
                                        <w:kern w:val="0"/>
                                        <w:sz w:val="22"/>
                                        <w:szCs w:val="22"/>
                                        <w14:ligatures w14:val="none"/>
                                      </w:rPr>
                                      <w:t>,</w:t>
                                    </w:r>
                                    <w:r w:rsidRPr="00EE2774">
                                      <w:rPr>
                                        <w:kern w:val="0"/>
                                        <w:sz w:val="22"/>
                                        <w:szCs w:val="22"/>
                                        <w14:ligatures w14:val="none"/>
                                      </w:rPr>
                                      <w:t xml:space="preserve"> </w:t>
                                    </w:r>
                                    <w:r w:rsidR="00F02DF8">
                                      <w:rPr>
                                        <w:kern w:val="0"/>
                                        <w:sz w:val="22"/>
                                        <w:szCs w:val="22"/>
                                        <w14:ligatures w14:val="none"/>
                                      </w:rPr>
                                      <w:t>s</w:t>
                                    </w:r>
                                    <w:r w:rsidRPr="00EE2774">
                                      <w:rPr>
                                        <w:kern w:val="0"/>
                                        <w:sz w:val="22"/>
                                        <w:szCs w:val="22"/>
                                        <w14:ligatures w14:val="none"/>
                                      </w:rPr>
                                      <w:t>overeign Infrastructure, employ</w:t>
                                    </w:r>
                                    <w:r>
                                      <w:rPr>
                                        <w:kern w:val="0"/>
                                        <w:sz w:val="22"/>
                                        <w:szCs w:val="22"/>
                                        <w14:ligatures w14:val="none"/>
                                      </w:rPr>
                                      <w:t>ing</w:t>
                                    </w:r>
                                    <w:r w:rsidRPr="00EE2774">
                                      <w:rPr>
                                        <w:kern w:val="0"/>
                                        <w:sz w:val="22"/>
                                        <w:szCs w:val="22"/>
                                        <w14:ligatures w14:val="none"/>
                                      </w:rPr>
                                      <w:t xml:space="preserve"> a "</w:t>
                                    </w:r>
                                    <w:r>
                                      <w:rPr>
                                        <w:kern w:val="0"/>
                                        <w:sz w:val="22"/>
                                        <w:szCs w:val="22"/>
                                        <w14:ligatures w14:val="none"/>
                                      </w:rPr>
                                      <w:t>d</w:t>
                                    </w:r>
                                    <w:r w:rsidRPr="00EE2774">
                                      <w:rPr>
                                        <w:kern w:val="0"/>
                                        <w:sz w:val="22"/>
                                        <w:szCs w:val="22"/>
                                        <w14:ligatures w14:val="none"/>
                                      </w:rPr>
                                      <w:t xml:space="preserve">ecoupled </w:t>
                                    </w:r>
                                    <w:r>
                                      <w:rPr>
                                        <w:kern w:val="0"/>
                                        <w:sz w:val="22"/>
                                        <w:szCs w:val="22"/>
                                        <w14:ligatures w14:val="none"/>
                                      </w:rPr>
                                      <w:t>l</w:t>
                                    </w:r>
                                    <w:r w:rsidRPr="00EE2774">
                                      <w:rPr>
                                        <w:kern w:val="0"/>
                                        <w:sz w:val="22"/>
                                        <w:szCs w:val="22"/>
                                        <w14:ligatures w14:val="none"/>
                                      </w:rPr>
                                      <w:t xml:space="preserve">ogic" model to eliminate </w:t>
                                    </w:r>
                                    <w:r w:rsidR="00F02DF8">
                                      <w:rPr>
                                        <w:kern w:val="0"/>
                                        <w:sz w:val="22"/>
                                        <w:szCs w:val="22"/>
                                        <w14:ligatures w14:val="none"/>
                                      </w:rPr>
                                      <w:t>the opportunities of jurisdictional “long-arm” outreach</w:t>
                                    </w:r>
                                    <w:r>
                                      <w:rPr>
                                        <w:kern w:val="0"/>
                                        <w:sz w:val="22"/>
                                        <w:szCs w:val="22"/>
                                        <w14:ligatures w14:val="none"/>
                                      </w:rPr>
                                      <w:t>, and ensure data and operational security.</w:t>
                                    </w:r>
                                  </w:p>
                                </w:sdtContent>
                              </w:sdt>
                              <w:sdt>
                                <w:sdtPr>
                                  <w:rPr>
                                    <w:color w:val="E97132" w:themeColor="accent2"/>
                                    <w:sz w:val="26"/>
                                    <w:szCs w:val="26"/>
                                  </w:rPr>
                                  <w:alias w:val="Author"/>
                                  <w:tag w:val=""/>
                                  <w:id w:val="-279026076"/>
                                  <w:dataBinding w:prefixMappings="xmlns:ns0='http://purl.org/dc/elements/1.1/' xmlns:ns1='http://schemas.openxmlformats.org/package/2006/metadata/core-properties' " w:xpath="/ns1:coreProperties[1]/ns0:creator[1]" w:storeItemID="{6C3C8BC8-F283-45AE-878A-BAB7291924A1}"/>
                                  <w:text/>
                                </w:sdtPr>
                                <w:sdtContent>
                                  <w:p w14:paraId="703C78EB" w14:textId="73F7E411" w:rsidR="00821532" w:rsidRDefault="00A15B23">
                                    <w:pPr>
                                      <w:pStyle w:val="NoSpacing"/>
                                      <w:rPr>
                                        <w:color w:val="E97132" w:themeColor="accent2"/>
                                        <w:sz w:val="26"/>
                                        <w:szCs w:val="26"/>
                                      </w:rPr>
                                    </w:pPr>
                                    <w:r>
                                      <w:rPr>
                                        <w:color w:val="E97132" w:themeColor="accent2"/>
                                        <w:sz w:val="26"/>
                                        <w:szCs w:val="26"/>
                                      </w:rPr>
                                      <w:t xml:space="preserve">By </w:t>
                                    </w:r>
                                    <w:r w:rsidR="00821532">
                                      <w:rPr>
                                        <w:color w:val="E97132" w:themeColor="accent2"/>
                                        <w:sz w:val="26"/>
                                        <w:szCs w:val="26"/>
                                      </w:rPr>
                                      <w:t>Martin Jermakyan</w:t>
                                    </w:r>
                                  </w:p>
                                </w:sdtContent>
                              </w:sdt>
                              <w:p w14:paraId="5AF7C395" w14:textId="3B75C59A" w:rsidR="00821532" w:rsidRDefault="00821532">
                                <w:pPr>
                                  <w:pStyle w:val="NoSpacing"/>
                                </w:pPr>
                              </w:p>
                            </w:tc>
                          </w:tr>
                        </w:tbl>
                        <w:p w14:paraId="0853BFA9" w14:textId="77777777" w:rsidR="00821532" w:rsidRDefault="00821532"/>
                      </w:txbxContent>
                    </v:textbox>
                    <w10:wrap anchorx="page" anchory="page"/>
                  </v:shape>
                </w:pict>
              </mc:Fallback>
            </mc:AlternateContent>
          </w:r>
          <w:r w:rsidR="00821532">
            <w:rPr>
              <w:b/>
              <w:bCs/>
              <w:sz w:val="32"/>
              <w:szCs w:val="32"/>
            </w:rPr>
            <w:br w:type="page"/>
          </w:r>
        </w:p>
        <w:p w14:paraId="546A9AC7" w14:textId="6F13CCEF" w:rsidR="00821532" w:rsidRDefault="00000000">
          <w:pPr>
            <w:rPr>
              <w:b/>
              <w:bCs/>
              <w:sz w:val="32"/>
              <w:szCs w:val="32"/>
            </w:rPr>
          </w:pPr>
        </w:p>
      </w:sdtContent>
    </w:sdt>
    <w:p w14:paraId="54428546" w14:textId="145678F2" w:rsidR="00E70773" w:rsidRPr="00A10E20" w:rsidRDefault="00E70773" w:rsidP="00E70773">
      <w:pPr>
        <w:spacing w:after="120" w:line="240" w:lineRule="auto"/>
        <w:rPr>
          <w:b/>
          <w:bCs/>
          <w:sz w:val="32"/>
          <w:szCs w:val="32"/>
        </w:rPr>
      </w:pPr>
      <w:r w:rsidRPr="00A10E20">
        <w:rPr>
          <w:b/>
          <w:bCs/>
          <w:sz w:val="32"/>
          <w:szCs w:val="32"/>
        </w:rPr>
        <w:t>Global Distribut</w:t>
      </w:r>
      <w:r w:rsidR="00432FF1">
        <w:rPr>
          <w:b/>
          <w:bCs/>
          <w:sz w:val="32"/>
          <w:szCs w:val="32"/>
        </w:rPr>
        <w:t>ion</w:t>
      </w:r>
      <w:r w:rsidRPr="00A10E20">
        <w:rPr>
          <w:b/>
          <w:bCs/>
          <w:sz w:val="32"/>
          <w:szCs w:val="32"/>
        </w:rPr>
        <w:t xml:space="preserve"> </w:t>
      </w:r>
      <w:r w:rsidR="00432FF1">
        <w:rPr>
          <w:b/>
          <w:bCs/>
          <w:sz w:val="32"/>
          <w:szCs w:val="32"/>
        </w:rPr>
        <w:t>and</w:t>
      </w:r>
      <w:r w:rsidRPr="00A10E20">
        <w:rPr>
          <w:b/>
          <w:bCs/>
          <w:sz w:val="32"/>
          <w:szCs w:val="32"/>
        </w:rPr>
        <w:t xml:space="preserve"> Disaster Recovery Architecture</w:t>
      </w:r>
    </w:p>
    <w:p w14:paraId="5558F9A5" w14:textId="77777777" w:rsidR="00A10E20" w:rsidRDefault="00A10E20" w:rsidP="00C27AE8">
      <w:pPr>
        <w:spacing w:after="0" w:line="240" w:lineRule="auto"/>
        <w:rPr>
          <w:sz w:val="22"/>
          <w:szCs w:val="22"/>
        </w:rPr>
      </w:pPr>
    </w:p>
    <w:p w14:paraId="69AAE3B8" w14:textId="77777777" w:rsidR="00EF4344" w:rsidRPr="00EF4344" w:rsidRDefault="00EF4344" w:rsidP="00432FF1">
      <w:pPr>
        <w:spacing w:after="120" w:line="240" w:lineRule="auto"/>
        <w:rPr>
          <w:b/>
          <w:bCs/>
        </w:rPr>
      </w:pPr>
      <w:r w:rsidRPr="00EF4344">
        <w:rPr>
          <w:b/>
          <w:bCs/>
        </w:rPr>
        <w:t>Introduction</w:t>
      </w:r>
    </w:p>
    <w:p w14:paraId="4A7868ED" w14:textId="4467F4D7" w:rsidR="00A10E20" w:rsidRDefault="00A10E20" w:rsidP="00432FF1">
      <w:pPr>
        <w:spacing w:after="120" w:line="240" w:lineRule="auto"/>
        <w:rPr>
          <w:sz w:val="22"/>
          <w:szCs w:val="22"/>
        </w:rPr>
      </w:pPr>
      <w:r>
        <w:rPr>
          <w:sz w:val="22"/>
          <w:szCs w:val="22"/>
        </w:rPr>
        <w:t>T</w:t>
      </w:r>
      <w:r w:rsidRPr="00F5103A">
        <w:rPr>
          <w:sz w:val="22"/>
          <w:szCs w:val="22"/>
        </w:rPr>
        <w:t xml:space="preserve">his draft </w:t>
      </w:r>
      <w:r>
        <w:rPr>
          <w:sz w:val="22"/>
          <w:szCs w:val="22"/>
        </w:rPr>
        <w:t>is b</w:t>
      </w:r>
      <w:r w:rsidRPr="00F5103A">
        <w:rPr>
          <w:sz w:val="22"/>
          <w:szCs w:val="22"/>
        </w:rPr>
        <w:t xml:space="preserve">ased on the </w:t>
      </w:r>
      <w:r w:rsidRPr="00F5103A">
        <w:rPr>
          <w:b/>
          <w:bCs/>
          <w:sz w:val="22"/>
          <w:szCs w:val="22"/>
        </w:rPr>
        <w:t>Bermuda Monetary Authority (BMA)</w:t>
      </w:r>
      <w:r w:rsidRPr="00F5103A">
        <w:rPr>
          <w:sz w:val="22"/>
          <w:szCs w:val="22"/>
        </w:rPr>
        <w:t xml:space="preserve"> </w:t>
      </w:r>
      <w:r w:rsidRPr="006C6369">
        <w:rPr>
          <w:b/>
          <w:bCs/>
          <w:sz w:val="22"/>
          <w:szCs w:val="22"/>
        </w:rPr>
        <w:t>Digital Asset Business Act (DABA)</w:t>
      </w:r>
      <w:r w:rsidRPr="00F5103A">
        <w:rPr>
          <w:sz w:val="22"/>
          <w:szCs w:val="22"/>
        </w:rPr>
        <w:t xml:space="preserve"> </w:t>
      </w:r>
      <w:r w:rsidR="006C6369">
        <w:rPr>
          <w:sz w:val="22"/>
          <w:szCs w:val="22"/>
        </w:rPr>
        <w:t xml:space="preserve">regulations </w:t>
      </w:r>
      <w:r w:rsidRPr="00F5103A">
        <w:rPr>
          <w:sz w:val="22"/>
          <w:szCs w:val="22"/>
        </w:rPr>
        <w:t xml:space="preserve">and the </w:t>
      </w:r>
      <w:r w:rsidRPr="00F5103A">
        <w:rPr>
          <w:b/>
          <w:bCs/>
          <w:sz w:val="22"/>
          <w:szCs w:val="22"/>
        </w:rPr>
        <w:t>2024/2025 Operational Resilience and Outsourcing Code</w:t>
      </w:r>
      <w:r w:rsidRPr="00F5103A">
        <w:rPr>
          <w:sz w:val="22"/>
          <w:szCs w:val="22"/>
        </w:rPr>
        <w:t>,</w:t>
      </w:r>
      <w:r>
        <w:rPr>
          <w:sz w:val="22"/>
          <w:szCs w:val="22"/>
        </w:rPr>
        <w:t xml:space="preserve"> </w:t>
      </w:r>
      <w:r w:rsidRPr="00F5103A">
        <w:rPr>
          <w:sz w:val="22"/>
          <w:szCs w:val="22"/>
        </w:rPr>
        <w:t>outlin</w:t>
      </w:r>
      <w:r w:rsidR="005D58F2">
        <w:rPr>
          <w:sz w:val="22"/>
          <w:szCs w:val="22"/>
        </w:rPr>
        <w:t>ing</w:t>
      </w:r>
      <w:r w:rsidRPr="00F5103A">
        <w:rPr>
          <w:sz w:val="22"/>
          <w:szCs w:val="22"/>
        </w:rPr>
        <w:t xml:space="preserve"> GSCX’s hybrid mainframe-to-cloud architecture</w:t>
      </w:r>
      <w:r>
        <w:rPr>
          <w:sz w:val="22"/>
          <w:szCs w:val="22"/>
        </w:rPr>
        <w:t xml:space="preserve"> and</w:t>
      </w:r>
      <w:r w:rsidRPr="00F5103A">
        <w:rPr>
          <w:sz w:val="22"/>
          <w:szCs w:val="22"/>
        </w:rPr>
        <w:t xml:space="preserve"> resilience strategy.</w:t>
      </w:r>
    </w:p>
    <w:p w14:paraId="62025B94" w14:textId="5FF2C5F8" w:rsidR="00962627" w:rsidRDefault="00962627" w:rsidP="00962627">
      <w:pPr>
        <w:spacing w:after="120" w:line="240" w:lineRule="auto"/>
        <w:rPr>
          <w:sz w:val="22"/>
          <w:szCs w:val="22"/>
        </w:rPr>
      </w:pPr>
      <w:r w:rsidRPr="00E70773">
        <w:rPr>
          <w:sz w:val="22"/>
          <w:szCs w:val="22"/>
        </w:rPr>
        <w:t>GSCX</w:t>
      </w:r>
      <w:r>
        <w:rPr>
          <w:sz w:val="22"/>
          <w:szCs w:val="22"/>
        </w:rPr>
        <w:t>’s</w:t>
      </w:r>
      <w:r w:rsidRPr="00E70773">
        <w:rPr>
          <w:sz w:val="22"/>
          <w:szCs w:val="22"/>
        </w:rPr>
        <w:t xml:space="preserve"> </w:t>
      </w:r>
      <w:r w:rsidRPr="00E70773">
        <w:rPr>
          <w:b/>
          <w:bCs/>
          <w:sz w:val="22"/>
          <w:szCs w:val="22"/>
        </w:rPr>
        <w:t>Digital Asset Business (DAB)</w:t>
      </w:r>
      <w:r w:rsidRPr="00E70773">
        <w:rPr>
          <w:sz w:val="22"/>
          <w:szCs w:val="22"/>
        </w:rPr>
        <w:t xml:space="preserve"> </w:t>
      </w:r>
      <w:r>
        <w:rPr>
          <w:sz w:val="22"/>
          <w:szCs w:val="22"/>
        </w:rPr>
        <w:t>division</w:t>
      </w:r>
      <w:r w:rsidRPr="00E70773">
        <w:rPr>
          <w:sz w:val="22"/>
          <w:szCs w:val="22"/>
        </w:rPr>
        <w:t xml:space="preserve"> </w:t>
      </w:r>
      <w:r w:rsidR="00821532">
        <w:rPr>
          <w:sz w:val="22"/>
          <w:szCs w:val="22"/>
        </w:rPr>
        <w:t>envisions</w:t>
      </w:r>
      <w:r>
        <w:rPr>
          <w:sz w:val="22"/>
          <w:szCs w:val="22"/>
        </w:rPr>
        <w:t xml:space="preserve"> </w:t>
      </w:r>
      <w:r w:rsidR="00137BA4">
        <w:rPr>
          <w:sz w:val="22"/>
          <w:szCs w:val="22"/>
        </w:rPr>
        <w:t>operating</w:t>
      </w:r>
      <w:r>
        <w:rPr>
          <w:sz w:val="22"/>
          <w:szCs w:val="22"/>
        </w:rPr>
        <w:t xml:space="preserve"> a</w:t>
      </w:r>
      <w:r w:rsidRPr="00E70773">
        <w:rPr>
          <w:sz w:val="22"/>
          <w:szCs w:val="22"/>
        </w:rPr>
        <w:t xml:space="preserve"> </w:t>
      </w:r>
      <w:r w:rsidRPr="00E70773">
        <w:rPr>
          <w:b/>
          <w:bCs/>
          <w:sz w:val="22"/>
          <w:szCs w:val="22"/>
        </w:rPr>
        <w:t>Tri-Node</w:t>
      </w:r>
      <w:r>
        <w:rPr>
          <w:b/>
          <w:bCs/>
          <w:sz w:val="22"/>
          <w:szCs w:val="22"/>
        </w:rPr>
        <w:t>, Dual-mode</w:t>
      </w:r>
      <w:r w:rsidRPr="00E70773">
        <w:rPr>
          <w:b/>
          <w:bCs/>
          <w:sz w:val="22"/>
          <w:szCs w:val="22"/>
        </w:rPr>
        <w:t xml:space="preserve"> Sovereign Infrastructure</w:t>
      </w:r>
      <w:r w:rsidR="005D58F2">
        <w:rPr>
          <w:sz w:val="22"/>
          <w:szCs w:val="22"/>
        </w:rPr>
        <w:t xml:space="preserve"> that </w:t>
      </w:r>
      <w:r w:rsidRPr="008C2043">
        <w:rPr>
          <w:sz w:val="22"/>
          <w:szCs w:val="22"/>
        </w:rPr>
        <w:t>employ</w:t>
      </w:r>
      <w:r w:rsidR="005D58F2">
        <w:rPr>
          <w:sz w:val="22"/>
          <w:szCs w:val="22"/>
        </w:rPr>
        <w:t xml:space="preserve">s </w:t>
      </w:r>
      <w:r w:rsidRPr="008C2043">
        <w:rPr>
          <w:sz w:val="22"/>
          <w:szCs w:val="22"/>
        </w:rPr>
        <w:t xml:space="preserve">a "Decoupled Logic" model to eliminate legal conflicts arising from the U.S. </w:t>
      </w:r>
      <w:r w:rsidR="004C2A38">
        <w:rPr>
          <w:sz w:val="22"/>
          <w:szCs w:val="22"/>
        </w:rPr>
        <w:t xml:space="preserve">CLOUD Act </w:t>
      </w:r>
      <w:r w:rsidRPr="008C2043">
        <w:rPr>
          <w:sz w:val="22"/>
          <w:szCs w:val="22"/>
        </w:rPr>
        <w:t>and regional privacy mandates.</w:t>
      </w:r>
    </w:p>
    <w:p w14:paraId="421D4E11" w14:textId="2C89FCDF" w:rsidR="00EF4344" w:rsidRDefault="00EF4344" w:rsidP="00962627">
      <w:pPr>
        <w:spacing w:after="120" w:line="240" w:lineRule="auto"/>
        <w:rPr>
          <w:sz w:val="22"/>
          <w:szCs w:val="22"/>
        </w:rPr>
      </w:pPr>
      <w:r w:rsidRPr="00E70773">
        <w:rPr>
          <w:sz w:val="22"/>
          <w:szCs w:val="22"/>
        </w:rPr>
        <w:t>Th</w:t>
      </w:r>
      <w:r>
        <w:rPr>
          <w:sz w:val="22"/>
          <w:szCs w:val="22"/>
        </w:rPr>
        <w:t>e</w:t>
      </w:r>
      <w:r w:rsidRPr="00E70773">
        <w:rPr>
          <w:sz w:val="22"/>
          <w:szCs w:val="22"/>
        </w:rPr>
        <w:t xml:space="preserve"> architecture</w:t>
      </w:r>
      <w:r>
        <w:rPr>
          <w:sz w:val="22"/>
          <w:szCs w:val="22"/>
        </w:rPr>
        <w:t xml:space="preserve"> proposed herein</w:t>
      </w:r>
      <w:r w:rsidRPr="00E70773">
        <w:rPr>
          <w:sz w:val="22"/>
          <w:szCs w:val="22"/>
        </w:rPr>
        <w:t xml:space="preserve"> integrates the </w:t>
      </w:r>
      <w:r w:rsidRPr="00E70773">
        <w:rPr>
          <w:b/>
          <w:bCs/>
          <w:sz w:val="22"/>
          <w:szCs w:val="22"/>
        </w:rPr>
        <w:t>USA (Americas)</w:t>
      </w:r>
      <w:r w:rsidRPr="00E70773">
        <w:rPr>
          <w:sz w:val="22"/>
          <w:szCs w:val="22"/>
        </w:rPr>
        <w:t xml:space="preserve"> and </w:t>
      </w:r>
      <w:r w:rsidRPr="00E70773">
        <w:rPr>
          <w:b/>
          <w:bCs/>
          <w:sz w:val="22"/>
          <w:szCs w:val="22"/>
        </w:rPr>
        <w:t>Switzerland (EMEA/APAC)</w:t>
      </w:r>
      <w:r w:rsidRPr="00E70773">
        <w:rPr>
          <w:sz w:val="22"/>
          <w:szCs w:val="22"/>
        </w:rPr>
        <w:t xml:space="preserve"> LinuxONE hubs with a </w:t>
      </w:r>
      <w:r w:rsidRPr="00E70773">
        <w:rPr>
          <w:b/>
          <w:bCs/>
          <w:sz w:val="22"/>
          <w:szCs w:val="22"/>
        </w:rPr>
        <w:t>Bermuda Resilience Anchor</w:t>
      </w:r>
      <w:r w:rsidRPr="00E70773">
        <w:rPr>
          <w:sz w:val="22"/>
          <w:szCs w:val="22"/>
        </w:rPr>
        <w:t xml:space="preserve">, specifically designed to satisfy the </w:t>
      </w:r>
      <w:r w:rsidRPr="00E70773">
        <w:rPr>
          <w:b/>
          <w:bCs/>
          <w:sz w:val="22"/>
          <w:szCs w:val="22"/>
        </w:rPr>
        <w:t>BMA DAB</w:t>
      </w:r>
      <w:r w:rsidRPr="00E70773">
        <w:rPr>
          <w:sz w:val="22"/>
          <w:szCs w:val="22"/>
        </w:rPr>
        <w:t xml:space="preserve">, </w:t>
      </w:r>
      <w:r w:rsidRPr="00E70773">
        <w:rPr>
          <w:b/>
          <w:bCs/>
          <w:sz w:val="22"/>
          <w:szCs w:val="22"/>
        </w:rPr>
        <w:t>FSRA (ADGM)</w:t>
      </w:r>
      <w:r w:rsidRPr="00E70773">
        <w:rPr>
          <w:sz w:val="22"/>
          <w:szCs w:val="22"/>
        </w:rPr>
        <w:t>, and international legal standards for jurisdictional sovereignty</w:t>
      </w:r>
      <w:r w:rsidR="00137BA4">
        <w:rPr>
          <w:sz w:val="22"/>
          <w:szCs w:val="22"/>
        </w:rPr>
        <w:t>.</w:t>
      </w:r>
    </w:p>
    <w:p w14:paraId="0F801CD4" w14:textId="77777777" w:rsidR="00962627" w:rsidRDefault="00962627" w:rsidP="00962627">
      <w:pPr>
        <w:spacing w:after="120" w:line="240" w:lineRule="auto"/>
        <w:rPr>
          <w:sz w:val="22"/>
          <w:szCs w:val="22"/>
        </w:rPr>
      </w:pPr>
      <w:r w:rsidRPr="00E70773">
        <w:rPr>
          <w:sz w:val="22"/>
          <w:szCs w:val="22"/>
        </w:rPr>
        <w:t xml:space="preserve">It leverages the hardware-level security of </w:t>
      </w:r>
      <w:r w:rsidRPr="00E70773">
        <w:rPr>
          <w:b/>
          <w:bCs/>
          <w:sz w:val="22"/>
          <w:szCs w:val="22"/>
        </w:rPr>
        <w:t>IBM Linux</w:t>
      </w:r>
      <w:r>
        <w:rPr>
          <w:b/>
          <w:bCs/>
          <w:sz w:val="22"/>
          <w:szCs w:val="22"/>
        </w:rPr>
        <w:t xml:space="preserve">One </w:t>
      </w:r>
      <w:r w:rsidRPr="00E70773">
        <w:rPr>
          <w:sz w:val="22"/>
          <w:szCs w:val="22"/>
        </w:rPr>
        <w:t>and the legal neutrality of Switzerland and Bermuda to provide a non-correlated, institutional-grade custodial environment.</w:t>
      </w:r>
    </w:p>
    <w:p w14:paraId="6488B4E1" w14:textId="03DA8D56" w:rsidR="007C2C6E" w:rsidRPr="00C27AE8" w:rsidRDefault="005D58F2" w:rsidP="007C2C6E">
      <w:pPr>
        <w:spacing w:after="120" w:line="240" w:lineRule="auto"/>
        <w:rPr>
          <w:sz w:val="22"/>
          <w:szCs w:val="22"/>
        </w:rPr>
      </w:pPr>
      <w:r>
        <w:rPr>
          <w:sz w:val="22"/>
          <w:szCs w:val="22"/>
        </w:rPr>
        <w:t>A</w:t>
      </w:r>
      <w:r w:rsidR="007C2C6E">
        <w:rPr>
          <w:sz w:val="22"/>
          <w:szCs w:val="22"/>
        </w:rPr>
        <w:t xml:space="preserve"> </w:t>
      </w:r>
      <w:r>
        <w:rPr>
          <w:sz w:val="22"/>
          <w:szCs w:val="22"/>
        </w:rPr>
        <w:t>highly sensitive</w:t>
      </w:r>
      <w:r w:rsidR="007C2C6E">
        <w:rPr>
          <w:sz w:val="22"/>
          <w:szCs w:val="22"/>
        </w:rPr>
        <w:t xml:space="preserve"> </w:t>
      </w:r>
      <w:r>
        <w:rPr>
          <w:sz w:val="22"/>
          <w:szCs w:val="22"/>
        </w:rPr>
        <w:t xml:space="preserve">issue </w:t>
      </w:r>
      <w:r w:rsidR="007C2C6E">
        <w:rPr>
          <w:sz w:val="22"/>
          <w:szCs w:val="22"/>
        </w:rPr>
        <w:t>is the</w:t>
      </w:r>
      <w:r w:rsidR="007C2C6E" w:rsidRPr="00C27AE8">
        <w:rPr>
          <w:sz w:val="22"/>
          <w:szCs w:val="22"/>
        </w:rPr>
        <w:t xml:space="preserve"> </w:t>
      </w:r>
      <w:r w:rsidR="007C2C6E" w:rsidRPr="00C27AE8">
        <w:rPr>
          <w:b/>
          <w:bCs/>
          <w:sz w:val="22"/>
          <w:szCs w:val="22"/>
        </w:rPr>
        <w:t xml:space="preserve">U.S. </w:t>
      </w:r>
      <w:r w:rsidR="004C2A38">
        <w:rPr>
          <w:b/>
          <w:bCs/>
          <w:sz w:val="22"/>
          <w:szCs w:val="22"/>
        </w:rPr>
        <w:t xml:space="preserve">CLOUD Act </w:t>
      </w:r>
      <w:r w:rsidR="007C2C6E" w:rsidRPr="00C27AE8">
        <w:rPr>
          <w:sz w:val="22"/>
          <w:szCs w:val="22"/>
        </w:rPr>
        <w:t>(Clarifying Lawful Overseas Use of Data Act)</w:t>
      </w:r>
      <w:r w:rsidR="007C2C6E">
        <w:rPr>
          <w:b/>
          <w:bCs/>
          <w:sz w:val="22"/>
          <w:szCs w:val="22"/>
        </w:rPr>
        <w:t xml:space="preserve">, </w:t>
      </w:r>
      <w:r w:rsidR="003F6EF3">
        <w:rPr>
          <w:sz w:val="22"/>
          <w:szCs w:val="22"/>
        </w:rPr>
        <w:t>which is perceived as posing</w:t>
      </w:r>
      <w:r w:rsidR="007C2C6E" w:rsidRPr="00C27AE8">
        <w:rPr>
          <w:sz w:val="22"/>
          <w:szCs w:val="22"/>
        </w:rPr>
        <w:t xml:space="preserve"> a fundamental challenge to global data sovereignty. It essentially grants the U.S. government "long-arm" jurisdiction over data, regardless of where data is physically stored, provided the service provider falls under U.S. legal jurisdiction.</w:t>
      </w:r>
    </w:p>
    <w:p w14:paraId="6B900E00" w14:textId="77777777" w:rsidR="007C2C6E" w:rsidRDefault="007C2C6E" w:rsidP="007C2C6E">
      <w:pPr>
        <w:spacing w:after="120" w:line="240" w:lineRule="auto"/>
        <w:rPr>
          <w:sz w:val="22"/>
          <w:szCs w:val="22"/>
        </w:rPr>
      </w:pPr>
      <w:r w:rsidRPr="00C27AE8">
        <w:rPr>
          <w:sz w:val="22"/>
          <w:szCs w:val="22"/>
        </w:rPr>
        <w:t xml:space="preserve">For a global entity like </w:t>
      </w:r>
      <w:r w:rsidRPr="00C27AE8">
        <w:rPr>
          <w:b/>
          <w:bCs/>
          <w:sz w:val="22"/>
          <w:szCs w:val="22"/>
        </w:rPr>
        <w:t>GSCX</w:t>
      </w:r>
      <w:r w:rsidRPr="00C27AE8">
        <w:rPr>
          <w:sz w:val="22"/>
          <w:szCs w:val="22"/>
        </w:rPr>
        <w:t>, mitigating these risks is not just a technical requirement but a core part of the "Sovereign-Grade" value proposition.</w:t>
      </w:r>
    </w:p>
    <w:p w14:paraId="10761648" w14:textId="63DED2EA" w:rsidR="007C2C6E" w:rsidRDefault="007C2C6E" w:rsidP="007C2C6E">
      <w:pPr>
        <w:spacing w:after="120" w:line="240" w:lineRule="auto"/>
        <w:rPr>
          <w:sz w:val="22"/>
          <w:szCs w:val="22"/>
        </w:rPr>
      </w:pPr>
      <w:r w:rsidRPr="00C27AE8">
        <w:rPr>
          <w:sz w:val="22"/>
          <w:szCs w:val="22"/>
        </w:rPr>
        <w:t>For Sovereign Wealth Funds</w:t>
      </w:r>
      <w:r w:rsidR="005652F0">
        <w:rPr>
          <w:sz w:val="22"/>
          <w:szCs w:val="22"/>
        </w:rPr>
        <w:t xml:space="preserve">, Central Banks, and possibly Multinational Family Offices, </w:t>
      </w:r>
      <w:r w:rsidRPr="00C27AE8">
        <w:rPr>
          <w:sz w:val="22"/>
          <w:szCs w:val="22"/>
        </w:rPr>
        <w:t xml:space="preserve">the </w:t>
      </w:r>
      <w:r>
        <w:rPr>
          <w:sz w:val="22"/>
          <w:szCs w:val="22"/>
        </w:rPr>
        <w:t xml:space="preserve">US </w:t>
      </w:r>
      <w:r w:rsidR="004C2A38">
        <w:rPr>
          <w:sz w:val="22"/>
          <w:szCs w:val="22"/>
        </w:rPr>
        <w:t xml:space="preserve">CLOUD Act </w:t>
      </w:r>
      <w:r w:rsidRPr="00C27AE8">
        <w:rPr>
          <w:sz w:val="22"/>
          <w:szCs w:val="22"/>
        </w:rPr>
        <w:t xml:space="preserve">is a deal-breaker. </w:t>
      </w:r>
      <w:r>
        <w:rPr>
          <w:sz w:val="22"/>
          <w:szCs w:val="22"/>
        </w:rPr>
        <w:t>For this reason, by creating a US-Switzerland judicial conflict, t</w:t>
      </w:r>
      <w:r w:rsidRPr="00C27AE8">
        <w:rPr>
          <w:sz w:val="22"/>
          <w:szCs w:val="22"/>
        </w:rPr>
        <w:t xml:space="preserve">he GSCX architecture transforms this risk into a competitive advantage: </w:t>
      </w:r>
    </w:p>
    <w:p w14:paraId="1D417A70" w14:textId="77777777" w:rsidR="007C2C6E" w:rsidRPr="00C27AE8" w:rsidRDefault="007C2C6E" w:rsidP="007C2C6E">
      <w:pPr>
        <w:spacing w:after="120" w:line="240" w:lineRule="auto"/>
        <w:rPr>
          <w:sz w:val="22"/>
          <w:szCs w:val="22"/>
        </w:rPr>
      </w:pPr>
      <w:r w:rsidRPr="00C27AE8">
        <w:rPr>
          <w:b/>
          <w:bCs/>
          <w:sz w:val="22"/>
          <w:szCs w:val="22"/>
        </w:rPr>
        <w:t>"Your data never enters the U.S. legal jurisdiction."</w:t>
      </w:r>
      <w:r w:rsidRPr="00C27AE8">
        <w:rPr>
          <w:sz w:val="22"/>
          <w:szCs w:val="22"/>
        </w:rPr>
        <w:t xml:space="preserve"> By combining the </w:t>
      </w:r>
      <w:r w:rsidRPr="00C27AE8">
        <w:rPr>
          <w:b/>
          <w:bCs/>
          <w:sz w:val="22"/>
          <w:szCs w:val="22"/>
        </w:rPr>
        <w:t>Swiss Neutrality Hub</w:t>
      </w:r>
      <w:r w:rsidRPr="00C27AE8">
        <w:rPr>
          <w:sz w:val="22"/>
          <w:szCs w:val="22"/>
        </w:rPr>
        <w:t xml:space="preserve"> with </w:t>
      </w:r>
      <w:r w:rsidRPr="00C27AE8">
        <w:rPr>
          <w:b/>
          <w:bCs/>
          <w:sz w:val="22"/>
          <w:szCs w:val="22"/>
        </w:rPr>
        <w:t>MPC-sharded key management</w:t>
      </w:r>
      <w:r w:rsidRPr="00C27AE8">
        <w:rPr>
          <w:sz w:val="22"/>
          <w:szCs w:val="22"/>
        </w:rPr>
        <w:t xml:space="preserve"> on </w:t>
      </w:r>
      <w:r w:rsidRPr="00C27AE8">
        <w:rPr>
          <w:b/>
          <w:bCs/>
          <w:sz w:val="22"/>
          <w:szCs w:val="22"/>
        </w:rPr>
        <w:t>EAL5+ hardware</w:t>
      </w:r>
      <w:r w:rsidRPr="00C27AE8">
        <w:rPr>
          <w:sz w:val="22"/>
          <w:szCs w:val="22"/>
        </w:rPr>
        <w:t xml:space="preserve">, GSCX provides a "Zero-Trust" infrastructure that is resilient to the </w:t>
      </w:r>
      <w:r>
        <w:rPr>
          <w:sz w:val="22"/>
          <w:szCs w:val="22"/>
        </w:rPr>
        <w:t xml:space="preserve">perceived </w:t>
      </w:r>
      <w:r w:rsidRPr="00C27AE8">
        <w:rPr>
          <w:sz w:val="22"/>
          <w:szCs w:val="22"/>
        </w:rPr>
        <w:t>"long-arm" reach of any single global power.</w:t>
      </w:r>
    </w:p>
    <w:p w14:paraId="7402C997" w14:textId="3178BD53" w:rsidR="007C2C6E" w:rsidRPr="00C27AE8" w:rsidRDefault="007C2C6E" w:rsidP="007C2C6E">
      <w:pPr>
        <w:spacing w:after="120" w:line="240" w:lineRule="auto"/>
        <w:rPr>
          <w:b/>
          <w:bCs/>
        </w:rPr>
      </w:pPr>
      <w:r w:rsidRPr="00C27AE8">
        <w:rPr>
          <w:b/>
          <w:bCs/>
        </w:rPr>
        <w:t>US C</w:t>
      </w:r>
      <w:r w:rsidR="005D58F2">
        <w:rPr>
          <w:b/>
          <w:bCs/>
        </w:rPr>
        <w:t>LOUD</w:t>
      </w:r>
      <w:r w:rsidRPr="00C27AE8">
        <w:rPr>
          <w:b/>
          <w:bCs/>
        </w:rPr>
        <w:t xml:space="preserve"> A</w:t>
      </w:r>
      <w:r w:rsidR="006C6369">
        <w:rPr>
          <w:b/>
          <w:bCs/>
          <w:sz w:val="22"/>
          <w:szCs w:val="22"/>
        </w:rPr>
        <w:t>ct</w:t>
      </w:r>
    </w:p>
    <w:p w14:paraId="29FC9AD2" w14:textId="77777777" w:rsidR="007C2C6E" w:rsidRPr="00C27AE8" w:rsidRDefault="007C2C6E" w:rsidP="007C2C6E">
      <w:pPr>
        <w:spacing w:after="120" w:line="240" w:lineRule="auto"/>
        <w:rPr>
          <w:sz w:val="22"/>
          <w:szCs w:val="22"/>
        </w:rPr>
      </w:pPr>
      <w:r w:rsidRPr="00C27AE8">
        <w:rPr>
          <w:sz w:val="22"/>
          <w:szCs w:val="22"/>
        </w:rPr>
        <w:t>The act fundamentally changed how U.S. law enforcement accesses data stored on foreign servers.</w:t>
      </w:r>
    </w:p>
    <w:p w14:paraId="5ACC3298" w14:textId="77777777" w:rsidR="007C2C6E" w:rsidRPr="00C27AE8" w:rsidRDefault="007C2C6E" w:rsidP="007C2C6E">
      <w:pPr>
        <w:numPr>
          <w:ilvl w:val="0"/>
          <w:numId w:val="26"/>
        </w:numPr>
        <w:spacing w:after="120" w:line="240" w:lineRule="auto"/>
        <w:rPr>
          <w:sz w:val="22"/>
          <w:szCs w:val="22"/>
        </w:rPr>
      </w:pPr>
      <w:r w:rsidRPr="00C27AE8">
        <w:rPr>
          <w:b/>
          <w:bCs/>
          <w:sz w:val="22"/>
          <w:szCs w:val="22"/>
        </w:rPr>
        <w:t>Extra-territorial Reach:</w:t>
      </w:r>
      <w:r w:rsidRPr="00C27AE8">
        <w:rPr>
          <w:sz w:val="22"/>
          <w:szCs w:val="22"/>
        </w:rPr>
        <w:t xml:space="preserve"> It mandates that U.S.-based service providers (e.g., Microsoft, Google, Amazon, IBM) must provide data in their "possession, custody, or control" to U.S. authorities when served with a warrant, </w:t>
      </w:r>
      <w:r w:rsidRPr="00C27AE8">
        <w:rPr>
          <w:b/>
          <w:bCs/>
          <w:sz w:val="22"/>
          <w:szCs w:val="22"/>
        </w:rPr>
        <w:t>regardless of where that data is physically stored.</w:t>
      </w:r>
    </w:p>
    <w:p w14:paraId="66BDD5EC" w14:textId="682D11FA" w:rsidR="007C2C6E" w:rsidRPr="00C27AE8" w:rsidRDefault="007C2C6E" w:rsidP="007C2C6E">
      <w:pPr>
        <w:numPr>
          <w:ilvl w:val="0"/>
          <w:numId w:val="26"/>
        </w:numPr>
        <w:spacing w:after="120" w:line="240" w:lineRule="auto"/>
        <w:rPr>
          <w:sz w:val="22"/>
          <w:szCs w:val="22"/>
        </w:rPr>
      </w:pPr>
      <w:r w:rsidRPr="00C27AE8">
        <w:rPr>
          <w:b/>
          <w:bCs/>
          <w:sz w:val="22"/>
          <w:szCs w:val="22"/>
        </w:rPr>
        <w:t>Bypassing Treaties:</w:t>
      </w:r>
      <w:r w:rsidRPr="00C27AE8">
        <w:rPr>
          <w:sz w:val="22"/>
          <w:szCs w:val="22"/>
        </w:rPr>
        <w:t xml:space="preserve"> Previously, the U.S. had to use </w:t>
      </w:r>
      <w:r w:rsidRPr="00C27AE8">
        <w:rPr>
          <w:b/>
          <w:bCs/>
          <w:sz w:val="22"/>
          <w:szCs w:val="22"/>
        </w:rPr>
        <w:t>Mutual Legal Assistance Treaties (MLATs)</w:t>
      </w:r>
      <w:r w:rsidR="006C6369">
        <w:rPr>
          <w:sz w:val="22"/>
          <w:szCs w:val="22"/>
        </w:rPr>
        <w:t xml:space="preserve">, </w:t>
      </w:r>
      <w:r w:rsidRPr="00C27AE8">
        <w:rPr>
          <w:sz w:val="22"/>
          <w:szCs w:val="22"/>
        </w:rPr>
        <w:t xml:space="preserve">a slow process requiring the approval of a judge in the country where the data was located. The </w:t>
      </w:r>
      <w:r w:rsidR="004C2A38">
        <w:rPr>
          <w:sz w:val="22"/>
          <w:szCs w:val="22"/>
        </w:rPr>
        <w:t xml:space="preserve">CLOUD Act </w:t>
      </w:r>
      <w:r w:rsidRPr="00C27AE8">
        <w:rPr>
          <w:sz w:val="22"/>
          <w:szCs w:val="22"/>
        </w:rPr>
        <w:t>allows the U.S. to bypass this foreign judicial review.</w:t>
      </w:r>
    </w:p>
    <w:p w14:paraId="0E1C584C" w14:textId="412D3FDF" w:rsidR="007C2C6E" w:rsidRPr="00C27AE8" w:rsidRDefault="005D58F2" w:rsidP="007C2C6E">
      <w:pPr>
        <w:spacing w:after="120" w:line="240" w:lineRule="auto"/>
        <w:rPr>
          <w:sz w:val="22"/>
          <w:szCs w:val="22"/>
        </w:rPr>
      </w:pPr>
      <w:r>
        <w:rPr>
          <w:sz w:val="22"/>
          <w:szCs w:val="22"/>
        </w:rPr>
        <w:t>M</w:t>
      </w:r>
      <w:r w:rsidR="007C2C6E" w:rsidRPr="00C27AE8">
        <w:rPr>
          <w:sz w:val="22"/>
          <w:szCs w:val="22"/>
        </w:rPr>
        <w:t>any sovereign nations</w:t>
      </w:r>
      <w:r>
        <w:rPr>
          <w:sz w:val="22"/>
          <w:szCs w:val="22"/>
        </w:rPr>
        <w:t xml:space="preserve"> </w:t>
      </w:r>
      <w:r w:rsidRPr="00C27AE8">
        <w:rPr>
          <w:sz w:val="22"/>
          <w:szCs w:val="22"/>
        </w:rPr>
        <w:t>view</w:t>
      </w:r>
      <w:r>
        <w:rPr>
          <w:sz w:val="22"/>
          <w:szCs w:val="22"/>
        </w:rPr>
        <w:t xml:space="preserve"> the act as</w:t>
      </w:r>
      <w:r w:rsidR="007C2C6E" w:rsidRPr="00C27AE8">
        <w:rPr>
          <w:sz w:val="22"/>
          <w:szCs w:val="22"/>
        </w:rPr>
        <w:t xml:space="preserve"> </w:t>
      </w:r>
      <w:r>
        <w:rPr>
          <w:sz w:val="22"/>
          <w:szCs w:val="22"/>
        </w:rPr>
        <w:t xml:space="preserve">a </w:t>
      </w:r>
      <w:r w:rsidR="007C2C6E" w:rsidRPr="00C27AE8">
        <w:rPr>
          <w:sz w:val="22"/>
          <w:szCs w:val="22"/>
        </w:rPr>
        <w:t>"long-arm" jurisdiction tool because it forces a conflict of laws:</w:t>
      </w:r>
    </w:p>
    <w:p w14:paraId="70741B72" w14:textId="77777777" w:rsidR="007C2C6E" w:rsidRPr="00C27AE8" w:rsidRDefault="007C2C6E" w:rsidP="007C2C6E">
      <w:pPr>
        <w:numPr>
          <w:ilvl w:val="0"/>
          <w:numId w:val="27"/>
        </w:numPr>
        <w:spacing w:after="120" w:line="240" w:lineRule="auto"/>
        <w:rPr>
          <w:sz w:val="22"/>
          <w:szCs w:val="22"/>
        </w:rPr>
      </w:pPr>
      <w:r w:rsidRPr="00C27AE8">
        <w:rPr>
          <w:b/>
          <w:bCs/>
          <w:sz w:val="22"/>
          <w:szCs w:val="22"/>
        </w:rPr>
        <w:t>U.S. Requirement:</w:t>
      </w:r>
      <w:r w:rsidRPr="00C27AE8">
        <w:rPr>
          <w:sz w:val="22"/>
          <w:szCs w:val="22"/>
        </w:rPr>
        <w:t xml:space="preserve"> The company must hand over the data.</w:t>
      </w:r>
    </w:p>
    <w:p w14:paraId="314DDB54" w14:textId="77777777" w:rsidR="007C2C6E" w:rsidRPr="00C27AE8" w:rsidRDefault="007C2C6E" w:rsidP="007C2C6E">
      <w:pPr>
        <w:numPr>
          <w:ilvl w:val="0"/>
          <w:numId w:val="27"/>
        </w:numPr>
        <w:spacing w:after="120" w:line="240" w:lineRule="auto"/>
        <w:rPr>
          <w:sz w:val="22"/>
          <w:szCs w:val="22"/>
        </w:rPr>
      </w:pPr>
      <w:r w:rsidRPr="00C27AE8">
        <w:rPr>
          <w:b/>
          <w:bCs/>
          <w:sz w:val="22"/>
          <w:szCs w:val="22"/>
        </w:rPr>
        <w:lastRenderedPageBreak/>
        <w:t>Local Requirement:</w:t>
      </w:r>
      <w:r w:rsidRPr="00C27AE8">
        <w:rPr>
          <w:sz w:val="22"/>
          <w:szCs w:val="22"/>
        </w:rPr>
        <w:t xml:space="preserve"> Many countries (like Switzerland or those under EU GDPR) have laws prohibiting the disclosure of personal data to foreign governments without local judicial approval.</w:t>
      </w:r>
    </w:p>
    <w:p w14:paraId="12E3E32F" w14:textId="77777777" w:rsidR="007C2C6E" w:rsidRPr="00C27AE8" w:rsidRDefault="007C2C6E" w:rsidP="007C2C6E">
      <w:pPr>
        <w:spacing w:after="120" w:line="240" w:lineRule="auto"/>
        <w:rPr>
          <w:b/>
          <w:bCs/>
        </w:rPr>
      </w:pPr>
      <w:r w:rsidRPr="00C27AE8">
        <w:rPr>
          <w:b/>
          <w:bCs/>
        </w:rPr>
        <w:t>GSCX Mitigation Strategy</w:t>
      </w:r>
    </w:p>
    <w:p w14:paraId="4B8F485B" w14:textId="77777777" w:rsidR="007C2C6E" w:rsidRPr="00C27AE8" w:rsidRDefault="007C2C6E" w:rsidP="007C2C6E">
      <w:pPr>
        <w:spacing w:after="120" w:line="240" w:lineRule="auto"/>
        <w:rPr>
          <w:sz w:val="22"/>
          <w:szCs w:val="22"/>
        </w:rPr>
      </w:pPr>
      <w:r w:rsidRPr="00C27AE8">
        <w:rPr>
          <w:sz w:val="22"/>
          <w:szCs w:val="22"/>
        </w:rPr>
        <w:t xml:space="preserve">To protect the data of non-U.S. participants (from the UAE, EMEA, APAC, and </w:t>
      </w:r>
      <w:proofErr w:type="spellStart"/>
      <w:r w:rsidRPr="00C27AE8">
        <w:rPr>
          <w:sz w:val="22"/>
          <w:szCs w:val="22"/>
        </w:rPr>
        <w:t>LatAm</w:t>
      </w:r>
      <w:proofErr w:type="spellEnd"/>
      <w:r w:rsidRPr="00C27AE8">
        <w:rPr>
          <w:sz w:val="22"/>
          <w:szCs w:val="22"/>
        </w:rPr>
        <w:t xml:space="preserve">), the GSCX architecture utilizes a </w:t>
      </w:r>
      <w:r w:rsidRPr="00C27AE8">
        <w:rPr>
          <w:b/>
          <w:bCs/>
          <w:sz w:val="22"/>
          <w:szCs w:val="22"/>
        </w:rPr>
        <w:t>Sovereignty Shield</w:t>
      </w:r>
      <w:r w:rsidRPr="00C27AE8">
        <w:rPr>
          <w:sz w:val="22"/>
          <w:szCs w:val="22"/>
        </w:rPr>
        <w:t>:</w:t>
      </w:r>
    </w:p>
    <w:p w14:paraId="52D7B36F" w14:textId="30F3CCED" w:rsidR="007C2C6E" w:rsidRPr="00C27AE8" w:rsidRDefault="007C2C6E" w:rsidP="007C2C6E">
      <w:pPr>
        <w:numPr>
          <w:ilvl w:val="0"/>
          <w:numId w:val="28"/>
        </w:numPr>
        <w:spacing w:after="120" w:line="240" w:lineRule="auto"/>
        <w:rPr>
          <w:sz w:val="22"/>
          <w:szCs w:val="22"/>
        </w:rPr>
      </w:pPr>
      <w:r w:rsidRPr="00C27AE8">
        <w:rPr>
          <w:b/>
          <w:bCs/>
          <w:sz w:val="22"/>
          <w:szCs w:val="22"/>
        </w:rPr>
        <w:t>Switzerland Hub:</w:t>
      </w:r>
      <w:r w:rsidRPr="00C27AE8">
        <w:rPr>
          <w:sz w:val="22"/>
          <w:szCs w:val="22"/>
        </w:rPr>
        <w:t xml:space="preserve"> By hosting non-U.S. data in a neutral Swiss datacenter under the </w:t>
      </w:r>
      <w:r w:rsidRPr="00C27AE8">
        <w:rPr>
          <w:b/>
          <w:bCs/>
          <w:sz w:val="22"/>
          <w:szCs w:val="22"/>
        </w:rPr>
        <w:t>Swiss Federal Act on Data Protection (FADP)</w:t>
      </w:r>
      <w:r w:rsidRPr="00C27AE8">
        <w:rPr>
          <w:sz w:val="22"/>
          <w:szCs w:val="22"/>
        </w:rPr>
        <w:t>, GSCX creates a legal barrier. Swiss law specifically criminalizes the disclosure of such data to foreign states without a Swiss court order.</w:t>
      </w:r>
    </w:p>
    <w:p w14:paraId="380B8423" w14:textId="09BFB463" w:rsidR="007C2C6E" w:rsidRPr="00C27AE8" w:rsidRDefault="007C2C6E" w:rsidP="007C2C6E">
      <w:pPr>
        <w:numPr>
          <w:ilvl w:val="0"/>
          <w:numId w:val="28"/>
        </w:numPr>
        <w:spacing w:after="120" w:line="240" w:lineRule="auto"/>
        <w:rPr>
          <w:sz w:val="22"/>
          <w:szCs w:val="22"/>
        </w:rPr>
      </w:pPr>
      <w:r w:rsidRPr="00C27AE8">
        <w:rPr>
          <w:b/>
          <w:bCs/>
          <w:sz w:val="22"/>
          <w:szCs w:val="22"/>
        </w:rPr>
        <w:t>Decoupled Logic:</w:t>
      </w:r>
      <w:r w:rsidRPr="00C27AE8">
        <w:rPr>
          <w:sz w:val="22"/>
          <w:szCs w:val="22"/>
        </w:rPr>
        <w:t xml:space="preserve"> GSCX ensures that the encryption keys and "Mind and Management" for the Swiss and Bermuda nodes are logically and physically sequestered. This means the U.S. entity does not have "control" over the non-U.S. data shards, making a </w:t>
      </w:r>
      <w:r w:rsidR="004C2A38">
        <w:rPr>
          <w:sz w:val="22"/>
          <w:szCs w:val="22"/>
        </w:rPr>
        <w:t xml:space="preserve">CLOUD </w:t>
      </w:r>
      <w:r w:rsidR="00A974F5">
        <w:rPr>
          <w:sz w:val="22"/>
          <w:szCs w:val="22"/>
        </w:rPr>
        <w:t>Act warrant</w:t>
      </w:r>
      <w:r w:rsidRPr="00C27AE8">
        <w:rPr>
          <w:sz w:val="22"/>
          <w:szCs w:val="22"/>
        </w:rPr>
        <w:t xml:space="preserve"> technically and legally unenforceable for those specific participants.</w:t>
      </w:r>
    </w:p>
    <w:p w14:paraId="2CD91240" w14:textId="77777777" w:rsidR="007C2C6E" w:rsidRPr="00C27AE8" w:rsidRDefault="007C2C6E" w:rsidP="007C2C6E">
      <w:pPr>
        <w:spacing w:after="120" w:line="240" w:lineRule="auto"/>
        <w:rPr>
          <w:b/>
          <w:bCs/>
          <w:sz w:val="22"/>
          <w:szCs w:val="22"/>
        </w:rPr>
      </w:pPr>
      <w:r w:rsidRPr="00C27AE8">
        <w:rPr>
          <w:b/>
          <w:bCs/>
          <w:sz w:val="22"/>
          <w:szCs w:val="22"/>
        </w:rPr>
        <w:t>Summary of the Conflict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59"/>
        <w:gridCol w:w="2970"/>
        <w:gridCol w:w="4590"/>
      </w:tblGrid>
      <w:tr w:rsidR="007C2C6E" w:rsidRPr="00C27AE8" w14:paraId="3214A0AC" w14:textId="77777777" w:rsidTr="00770A1C">
        <w:trPr>
          <w:tblHeader/>
          <w:tblCellSpacing w:w="15" w:type="dxa"/>
        </w:trPr>
        <w:tc>
          <w:tcPr>
            <w:tcW w:w="1387" w:type="dxa"/>
            <w:tcBorders>
              <w:top w:val="single" w:sz="6" w:space="0" w:color="auto"/>
              <w:left w:val="single" w:sz="6" w:space="0" w:color="auto"/>
              <w:bottom w:val="single" w:sz="6" w:space="0" w:color="auto"/>
              <w:right w:val="single" w:sz="6" w:space="0" w:color="auto"/>
            </w:tcBorders>
            <w:vAlign w:val="center"/>
            <w:hideMark/>
          </w:tcPr>
          <w:p w14:paraId="1E9DEB6E" w14:textId="77777777" w:rsidR="007C2C6E" w:rsidRPr="00C27AE8" w:rsidRDefault="007C2C6E" w:rsidP="00770A1C">
            <w:pPr>
              <w:spacing w:after="120" w:line="240" w:lineRule="auto"/>
              <w:ind w:left="180"/>
              <w:rPr>
                <w:sz w:val="22"/>
                <w:szCs w:val="22"/>
              </w:rPr>
            </w:pPr>
            <w:r w:rsidRPr="00C27AE8">
              <w:rPr>
                <w:b/>
                <w:bCs/>
                <w:sz w:val="22"/>
                <w:szCs w:val="22"/>
              </w:rPr>
              <w:t>Feature</w:t>
            </w:r>
          </w:p>
        </w:tc>
        <w:tc>
          <w:tcPr>
            <w:tcW w:w="2940" w:type="dxa"/>
            <w:tcBorders>
              <w:top w:val="single" w:sz="6" w:space="0" w:color="auto"/>
              <w:left w:val="single" w:sz="6" w:space="0" w:color="auto"/>
              <w:bottom w:val="single" w:sz="6" w:space="0" w:color="auto"/>
              <w:right w:val="single" w:sz="6" w:space="0" w:color="auto"/>
            </w:tcBorders>
            <w:vAlign w:val="center"/>
            <w:hideMark/>
          </w:tcPr>
          <w:p w14:paraId="2B5DAE0F" w14:textId="0246BC27" w:rsidR="007C2C6E" w:rsidRPr="00C27AE8" w:rsidRDefault="007C2C6E" w:rsidP="00770A1C">
            <w:pPr>
              <w:spacing w:after="120" w:line="240" w:lineRule="auto"/>
              <w:ind w:left="180"/>
              <w:rPr>
                <w:sz w:val="22"/>
                <w:szCs w:val="22"/>
              </w:rPr>
            </w:pPr>
            <w:r w:rsidRPr="00C27AE8">
              <w:rPr>
                <w:b/>
                <w:bCs/>
                <w:sz w:val="22"/>
                <w:szCs w:val="22"/>
              </w:rPr>
              <w:t>Pre-</w:t>
            </w:r>
            <w:r w:rsidR="004C2A38">
              <w:rPr>
                <w:b/>
                <w:bCs/>
                <w:sz w:val="22"/>
                <w:szCs w:val="22"/>
              </w:rPr>
              <w:t>CLOUD Act</w:t>
            </w:r>
            <w:r w:rsidR="005E6039">
              <w:rPr>
                <w:b/>
                <w:bCs/>
                <w:sz w:val="22"/>
                <w:szCs w:val="22"/>
              </w:rPr>
              <w:t xml:space="preserve"> </w:t>
            </w:r>
            <w:r w:rsidRPr="00C27AE8">
              <w:rPr>
                <w:b/>
                <w:bCs/>
                <w:sz w:val="22"/>
                <w:szCs w:val="22"/>
              </w:rPr>
              <w:t>(MLAT)</w:t>
            </w:r>
          </w:p>
        </w:tc>
        <w:tc>
          <w:tcPr>
            <w:tcW w:w="4545" w:type="dxa"/>
            <w:tcBorders>
              <w:top w:val="single" w:sz="6" w:space="0" w:color="auto"/>
              <w:left w:val="single" w:sz="6" w:space="0" w:color="auto"/>
              <w:bottom w:val="single" w:sz="6" w:space="0" w:color="auto"/>
              <w:right w:val="single" w:sz="6" w:space="0" w:color="auto"/>
            </w:tcBorders>
            <w:vAlign w:val="center"/>
            <w:hideMark/>
          </w:tcPr>
          <w:p w14:paraId="43EB39C9" w14:textId="6F1B75F6" w:rsidR="007C2C6E" w:rsidRPr="00C27AE8" w:rsidRDefault="007C2C6E" w:rsidP="00770A1C">
            <w:pPr>
              <w:spacing w:after="120" w:line="240" w:lineRule="auto"/>
              <w:ind w:left="180"/>
              <w:rPr>
                <w:sz w:val="22"/>
                <w:szCs w:val="22"/>
              </w:rPr>
            </w:pPr>
            <w:r w:rsidRPr="00C27AE8">
              <w:rPr>
                <w:b/>
                <w:bCs/>
                <w:sz w:val="22"/>
                <w:szCs w:val="22"/>
              </w:rPr>
              <w:t>Post-C</w:t>
            </w:r>
            <w:r w:rsidR="006C6369">
              <w:rPr>
                <w:b/>
                <w:bCs/>
                <w:sz w:val="22"/>
                <w:szCs w:val="22"/>
              </w:rPr>
              <w:t>loud</w:t>
            </w:r>
            <w:r w:rsidRPr="00C27AE8">
              <w:rPr>
                <w:b/>
                <w:bCs/>
                <w:sz w:val="22"/>
                <w:szCs w:val="22"/>
              </w:rPr>
              <w:t xml:space="preserve"> Act</w:t>
            </w:r>
          </w:p>
        </w:tc>
      </w:tr>
      <w:tr w:rsidR="007C2C6E" w:rsidRPr="00C27AE8" w14:paraId="1015B25E" w14:textId="77777777" w:rsidTr="00770A1C">
        <w:trPr>
          <w:tblCellSpacing w:w="15" w:type="dxa"/>
        </w:trPr>
        <w:tc>
          <w:tcPr>
            <w:tcW w:w="1387" w:type="dxa"/>
            <w:tcBorders>
              <w:top w:val="single" w:sz="6" w:space="0" w:color="auto"/>
              <w:left w:val="single" w:sz="6" w:space="0" w:color="auto"/>
              <w:bottom w:val="single" w:sz="6" w:space="0" w:color="auto"/>
              <w:right w:val="single" w:sz="6" w:space="0" w:color="auto"/>
            </w:tcBorders>
            <w:vAlign w:val="center"/>
            <w:hideMark/>
          </w:tcPr>
          <w:p w14:paraId="5C64B95B" w14:textId="77777777" w:rsidR="007C2C6E" w:rsidRPr="00C27AE8" w:rsidRDefault="007C2C6E" w:rsidP="00770A1C">
            <w:pPr>
              <w:spacing w:after="120" w:line="240" w:lineRule="auto"/>
              <w:ind w:left="180"/>
              <w:rPr>
                <w:sz w:val="22"/>
                <w:szCs w:val="22"/>
              </w:rPr>
            </w:pPr>
            <w:r w:rsidRPr="00C27AE8">
              <w:rPr>
                <w:b/>
                <w:bCs/>
                <w:sz w:val="22"/>
                <w:szCs w:val="22"/>
              </w:rPr>
              <w:t>Primary Authority</w:t>
            </w:r>
          </w:p>
        </w:tc>
        <w:tc>
          <w:tcPr>
            <w:tcW w:w="2940" w:type="dxa"/>
            <w:tcBorders>
              <w:top w:val="single" w:sz="6" w:space="0" w:color="auto"/>
              <w:left w:val="single" w:sz="6" w:space="0" w:color="auto"/>
              <w:bottom w:val="single" w:sz="6" w:space="0" w:color="auto"/>
              <w:right w:val="single" w:sz="6" w:space="0" w:color="auto"/>
            </w:tcBorders>
            <w:vAlign w:val="center"/>
            <w:hideMark/>
          </w:tcPr>
          <w:p w14:paraId="1F27ADDB" w14:textId="77777777" w:rsidR="007C2C6E" w:rsidRPr="00C27AE8" w:rsidRDefault="007C2C6E" w:rsidP="00770A1C">
            <w:pPr>
              <w:spacing w:after="120" w:line="240" w:lineRule="auto"/>
              <w:ind w:left="180"/>
              <w:rPr>
                <w:sz w:val="22"/>
                <w:szCs w:val="22"/>
              </w:rPr>
            </w:pPr>
            <w:r w:rsidRPr="00C27AE8">
              <w:rPr>
                <w:sz w:val="22"/>
                <w:szCs w:val="22"/>
              </w:rPr>
              <w:t>Local Judge (where data sits)</w:t>
            </w:r>
          </w:p>
        </w:tc>
        <w:tc>
          <w:tcPr>
            <w:tcW w:w="4545" w:type="dxa"/>
            <w:tcBorders>
              <w:top w:val="single" w:sz="6" w:space="0" w:color="auto"/>
              <w:left w:val="single" w:sz="6" w:space="0" w:color="auto"/>
              <w:bottom w:val="single" w:sz="6" w:space="0" w:color="auto"/>
              <w:right w:val="single" w:sz="6" w:space="0" w:color="auto"/>
            </w:tcBorders>
            <w:vAlign w:val="center"/>
            <w:hideMark/>
          </w:tcPr>
          <w:p w14:paraId="50455D36" w14:textId="77777777" w:rsidR="007C2C6E" w:rsidRPr="00C27AE8" w:rsidRDefault="007C2C6E" w:rsidP="00770A1C">
            <w:pPr>
              <w:spacing w:after="120" w:line="240" w:lineRule="auto"/>
              <w:ind w:left="180"/>
              <w:rPr>
                <w:sz w:val="22"/>
                <w:szCs w:val="22"/>
              </w:rPr>
            </w:pPr>
            <w:r w:rsidRPr="00C27AE8">
              <w:rPr>
                <w:sz w:val="22"/>
                <w:szCs w:val="22"/>
              </w:rPr>
              <w:t xml:space="preserve">U.S. Judge (where </w:t>
            </w:r>
            <w:r>
              <w:rPr>
                <w:sz w:val="22"/>
                <w:szCs w:val="22"/>
              </w:rPr>
              <w:t xml:space="preserve">the </w:t>
            </w:r>
            <w:r w:rsidRPr="00C27AE8">
              <w:rPr>
                <w:sz w:val="22"/>
                <w:szCs w:val="22"/>
              </w:rPr>
              <w:t>company is HQ</w:t>
            </w:r>
            <w:r>
              <w:rPr>
                <w:sz w:val="22"/>
                <w:szCs w:val="22"/>
              </w:rPr>
              <w:t>-e</w:t>
            </w:r>
            <w:r w:rsidRPr="00C27AE8">
              <w:rPr>
                <w:sz w:val="22"/>
                <w:szCs w:val="22"/>
              </w:rPr>
              <w:t>d)</w:t>
            </w:r>
          </w:p>
        </w:tc>
      </w:tr>
      <w:tr w:rsidR="007C2C6E" w:rsidRPr="00C27AE8" w14:paraId="355BBF5E" w14:textId="77777777" w:rsidTr="00770A1C">
        <w:trPr>
          <w:tblCellSpacing w:w="15" w:type="dxa"/>
        </w:trPr>
        <w:tc>
          <w:tcPr>
            <w:tcW w:w="1387" w:type="dxa"/>
            <w:tcBorders>
              <w:top w:val="single" w:sz="6" w:space="0" w:color="auto"/>
              <w:left w:val="single" w:sz="6" w:space="0" w:color="auto"/>
              <w:bottom w:val="single" w:sz="6" w:space="0" w:color="auto"/>
              <w:right w:val="single" w:sz="6" w:space="0" w:color="auto"/>
            </w:tcBorders>
            <w:vAlign w:val="center"/>
            <w:hideMark/>
          </w:tcPr>
          <w:p w14:paraId="2B687A25" w14:textId="77777777" w:rsidR="007C2C6E" w:rsidRPr="00C27AE8" w:rsidRDefault="007C2C6E" w:rsidP="00770A1C">
            <w:pPr>
              <w:spacing w:after="120" w:line="240" w:lineRule="auto"/>
              <w:ind w:left="180"/>
              <w:rPr>
                <w:sz w:val="22"/>
                <w:szCs w:val="22"/>
              </w:rPr>
            </w:pPr>
            <w:r w:rsidRPr="00C27AE8">
              <w:rPr>
                <w:b/>
                <w:bCs/>
                <w:sz w:val="22"/>
                <w:szCs w:val="22"/>
              </w:rPr>
              <w:t>Speed</w:t>
            </w:r>
          </w:p>
        </w:tc>
        <w:tc>
          <w:tcPr>
            <w:tcW w:w="2940" w:type="dxa"/>
            <w:tcBorders>
              <w:top w:val="single" w:sz="6" w:space="0" w:color="auto"/>
              <w:left w:val="single" w:sz="6" w:space="0" w:color="auto"/>
              <w:bottom w:val="single" w:sz="6" w:space="0" w:color="auto"/>
              <w:right w:val="single" w:sz="6" w:space="0" w:color="auto"/>
            </w:tcBorders>
            <w:vAlign w:val="center"/>
            <w:hideMark/>
          </w:tcPr>
          <w:p w14:paraId="6222A78B" w14:textId="77777777" w:rsidR="007C2C6E" w:rsidRPr="00C27AE8" w:rsidRDefault="007C2C6E" w:rsidP="00770A1C">
            <w:pPr>
              <w:spacing w:after="120" w:line="240" w:lineRule="auto"/>
              <w:ind w:left="180"/>
              <w:rPr>
                <w:sz w:val="22"/>
                <w:szCs w:val="22"/>
              </w:rPr>
            </w:pPr>
            <w:r w:rsidRPr="00C27AE8">
              <w:rPr>
                <w:sz w:val="22"/>
                <w:szCs w:val="22"/>
              </w:rPr>
              <w:t>Slow (Months/Years)</w:t>
            </w:r>
          </w:p>
        </w:tc>
        <w:tc>
          <w:tcPr>
            <w:tcW w:w="4545" w:type="dxa"/>
            <w:tcBorders>
              <w:top w:val="single" w:sz="6" w:space="0" w:color="auto"/>
              <w:left w:val="single" w:sz="6" w:space="0" w:color="auto"/>
              <w:bottom w:val="single" w:sz="6" w:space="0" w:color="auto"/>
              <w:right w:val="single" w:sz="6" w:space="0" w:color="auto"/>
            </w:tcBorders>
            <w:vAlign w:val="center"/>
            <w:hideMark/>
          </w:tcPr>
          <w:p w14:paraId="668271FC" w14:textId="77777777" w:rsidR="007C2C6E" w:rsidRPr="00C27AE8" w:rsidRDefault="007C2C6E" w:rsidP="00770A1C">
            <w:pPr>
              <w:spacing w:after="120" w:line="240" w:lineRule="auto"/>
              <w:ind w:left="180"/>
              <w:rPr>
                <w:sz w:val="22"/>
                <w:szCs w:val="22"/>
              </w:rPr>
            </w:pPr>
            <w:r w:rsidRPr="00C27AE8">
              <w:rPr>
                <w:sz w:val="22"/>
                <w:szCs w:val="22"/>
              </w:rPr>
              <w:t>Fast (Days)</w:t>
            </w:r>
          </w:p>
        </w:tc>
      </w:tr>
      <w:tr w:rsidR="007C2C6E" w:rsidRPr="00C27AE8" w14:paraId="1783CDD8" w14:textId="77777777" w:rsidTr="00770A1C">
        <w:trPr>
          <w:tblCellSpacing w:w="15" w:type="dxa"/>
        </w:trPr>
        <w:tc>
          <w:tcPr>
            <w:tcW w:w="1387" w:type="dxa"/>
            <w:tcBorders>
              <w:top w:val="single" w:sz="6" w:space="0" w:color="auto"/>
              <w:left w:val="single" w:sz="6" w:space="0" w:color="auto"/>
              <w:bottom w:val="single" w:sz="6" w:space="0" w:color="auto"/>
              <w:right w:val="single" w:sz="6" w:space="0" w:color="auto"/>
            </w:tcBorders>
            <w:vAlign w:val="center"/>
            <w:hideMark/>
          </w:tcPr>
          <w:p w14:paraId="1BC9456E" w14:textId="77777777" w:rsidR="007C2C6E" w:rsidRPr="00C27AE8" w:rsidRDefault="007C2C6E" w:rsidP="00770A1C">
            <w:pPr>
              <w:spacing w:after="120" w:line="240" w:lineRule="auto"/>
              <w:ind w:left="180"/>
              <w:rPr>
                <w:sz w:val="22"/>
                <w:szCs w:val="22"/>
              </w:rPr>
            </w:pPr>
            <w:r w:rsidRPr="00C27AE8">
              <w:rPr>
                <w:b/>
                <w:bCs/>
                <w:sz w:val="22"/>
                <w:szCs w:val="22"/>
              </w:rPr>
              <w:t>Sovereignty</w:t>
            </w:r>
          </w:p>
        </w:tc>
        <w:tc>
          <w:tcPr>
            <w:tcW w:w="2940" w:type="dxa"/>
            <w:tcBorders>
              <w:top w:val="single" w:sz="6" w:space="0" w:color="auto"/>
              <w:left w:val="single" w:sz="6" w:space="0" w:color="auto"/>
              <w:bottom w:val="single" w:sz="6" w:space="0" w:color="auto"/>
              <w:right w:val="single" w:sz="6" w:space="0" w:color="auto"/>
            </w:tcBorders>
            <w:vAlign w:val="center"/>
            <w:hideMark/>
          </w:tcPr>
          <w:p w14:paraId="13793CFE" w14:textId="77777777" w:rsidR="007C2C6E" w:rsidRPr="00C27AE8" w:rsidRDefault="007C2C6E" w:rsidP="00770A1C">
            <w:pPr>
              <w:spacing w:after="120" w:line="240" w:lineRule="auto"/>
              <w:ind w:left="180"/>
              <w:rPr>
                <w:sz w:val="22"/>
                <w:szCs w:val="22"/>
              </w:rPr>
            </w:pPr>
            <w:r w:rsidRPr="00C27AE8">
              <w:rPr>
                <w:sz w:val="22"/>
                <w:szCs w:val="22"/>
              </w:rPr>
              <w:t>Respected</w:t>
            </w:r>
          </w:p>
        </w:tc>
        <w:tc>
          <w:tcPr>
            <w:tcW w:w="4545" w:type="dxa"/>
            <w:tcBorders>
              <w:top w:val="single" w:sz="6" w:space="0" w:color="auto"/>
              <w:left w:val="single" w:sz="6" w:space="0" w:color="auto"/>
              <w:bottom w:val="single" w:sz="6" w:space="0" w:color="auto"/>
              <w:right w:val="single" w:sz="6" w:space="0" w:color="auto"/>
            </w:tcBorders>
            <w:vAlign w:val="center"/>
            <w:hideMark/>
          </w:tcPr>
          <w:p w14:paraId="2D25A04F" w14:textId="77777777" w:rsidR="007C2C6E" w:rsidRPr="00C27AE8" w:rsidRDefault="007C2C6E" w:rsidP="00770A1C">
            <w:pPr>
              <w:spacing w:after="120" w:line="240" w:lineRule="auto"/>
              <w:ind w:left="180"/>
              <w:rPr>
                <w:sz w:val="22"/>
                <w:szCs w:val="22"/>
              </w:rPr>
            </w:pPr>
            <w:r w:rsidRPr="00C27AE8">
              <w:rPr>
                <w:sz w:val="22"/>
                <w:szCs w:val="22"/>
              </w:rPr>
              <w:t>Challenged/Bypassed</w:t>
            </w:r>
          </w:p>
        </w:tc>
      </w:tr>
      <w:tr w:rsidR="007C2C6E" w:rsidRPr="00C27AE8" w14:paraId="337ACC14" w14:textId="77777777" w:rsidTr="00770A1C">
        <w:trPr>
          <w:tblCellSpacing w:w="15" w:type="dxa"/>
        </w:trPr>
        <w:tc>
          <w:tcPr>
            <w:tcW w:w="1387" w:type="dxa"/>
            <w:tcBorders>
              <w:top w:val="single" w:sz="6" w:space="0" w:color="auto"/>
              <w:left w:val="single" w:sz="6" w:space="0" w:color="auto"/>
              <w:bottom w:val="single" w:sz="6" w:space="0" w:color="auto"/>
              <w:right w:val="single" w:sz="6" w:space="0" w:color="auto"/>
            </w:tcBorders>
            <w:vAlign w:val="center"/>
            <w:hideMark/>
          </w:tcPr>
          <w:p w14:paraId="367C9476" w14:textId="77777777" w:rsidR="007C2C6E" w:rsidRPr="00C27AE8" w:rsidRDefault="007C2C6E" w:rsidP="00770A1C">
            <w:pPr>
              <w:spacing w:after="120" w:line="240" w:lineRule="auto"/>
              <w:ind w:left="180"/>
              <w:rPr>
                <w:sz w:val="22"/>
                <w:szCs w:val="22"/>
              </w:rPr>
            </w:pPr>
            <w:r w:rsidRPr="00C27AE8">
              <w:rPr>
                <w:b/>
                <w:bCs/>
                <w:sz w:val="22"/>
                <w:szCs w:val="22"/>
              </w:rPr>
              <w:t>GSCX Status</w:t>
            </w:r>
          </w:p>
        </w:tc>
        <w:tc>
          <w:tcPr>
            <w:tcW w:w="2940" w:type="dxa"/>
            <w:tcBorders>
              <w:top w:val="single" w:sz="6" w:space="0" w:color="auto"/>
              <w:left w:val="single" w:sz="6" w:space="0" w:color="auto"/>
              <w:bottom w:val="single" w:sz="6" w:space="0" w:color="auto"/>
              <w:right w:val="single" w:sz="6" w:space="0" w:color="auto"/>
            </w:tcBorders>
            <w:vAlign w:val="center"/>
            <w:hideMark/>
          </w:tcPr>
          <w:p w14:paraId="64584729" w14:textId="77777777" w:rsidR="007C2C6E" w:rsidRPr="00C27AE8" w:rsidRDefault="007C2C6E" w:rsidP="00770A1C">
            <w:pPr>
              <w:spacing w:after="120" w:line="240" w:lineRule="auto"/>
              <w:ind w:left="180"/>
              <w:rPr>
                <w:sz w:val="22"/>
                <w:szCs w:val="22"/>
              </w:rPr>
            </w:pPr>
            <w:r w:rsidRPr="00C27AE8">
              <w:rPr>
                <w:sz w:val="22"/>
                <w:szCs w:val="22"/>
              </w:rPr>
              <w:t>Protected</w:t>
            </w:r>
          </w:p>
        </w:tc>
        <w:tc>
          <w:tcPr>
            <w:tcW w:w="4545" w:type="dxa"/>
            <w:tcBorders>
              <w:top w:val="single" w:sz="6" w:space="0" w:color="auto"/>
              <w:left w:val="single" w:sz="6" w:space="0" w:color="auto"/>
              <w:bottom w:val="single" w:sz="6" w:space="0" w:color="auto"/>
              <w:right w:val="single" w:sz="6" w:space="0" w:color="auto"/>
            </w:tcBorders>
            <w:vAlign w:val="center"/>
            <w:hideMark/>
          </w:tcPr>
          <w:p w14:paraId="29AED6FF" w14:textId="77777777" w:rsidR="007C2C6E" w:rsidRPr="00C27AE8" w:rsidRDefault="007C2C6E" w:rsidP="00770A1C">
            <w:pPr>
              <w:spacing w:after="120" w:line="240" w:lineRule="auto"/>
              <w:ind w:left="180"/>
              <w:rPr>
                <w:sz w:val="22"/>
                <w:szCs w:val="22"/>
              </w:rPr>
            </w:pPr>
            <w:r w:rsidRPr="00C27AE8">
              <w:rPr>
                <w:sz w:val="22"/>
                <w:szCs w:val="22"/>
              </w:rPr>
              <w:t xml:space="preserve">Protected via </w:t>
            </w:r>
            <w:r w:rsidRPr="00C27AE8">
              <w:rPr>
                <w:b/>
                <w:bCs/>
                <w:sz w:val="22"/>
                <w:szCs w:val="22"/>
              </w:rPr>
              <w:t>Bermuda</w:t>
            </w:r>
            <w:r>
              <w:rPr>
                <w:sz w:val="22"/>
                <w:szCs w:val="22"/>
              </w:rPr>
              <w:t xml:space="preserve"> and </w:t>
            </w:r>
            <w:r w:rsidRPr="00C27AE8">
              <w:rPr>
                <w:b/>
                <w:bCs/>
                <w:sz w:val="22"/>
                <w:szCs w:val="22"/>
              </w:rPr>
              <w:t>Swiss Neutrality</w:t>
            </w:r>
          </w:p>
        </w:tc>
      </w:tr>
    </w:tbl>
    <w:p w14:paraId="47845061" w14:textId="77777777" w:rsidR="00A10E20" w:rsidRDefault="00A10E20" w:rsidP="00EF4344">
      <w:pPr>
        <w:spacing w:after="0" w:line="240" w:lineRule="auto"/>
        <w:rPr>
          <w:b/>
          <w:bCs/>
        </w:rPr>
      </w:pPr>
    </w:p>
    <w:p w14:paraId="085E15E8" w14:textId="21795A27" w:rsidR="00A10E20" w:rsidRPr="00F5103A" w:rsidRDefault="00A10E20" w:rsidP="00A10E20">
      <w:pPr>
        <w:rPr>
          <w:b/>
          <w:bCs/>
        </w:rPr>
      </w:pPr>
      <w:r w:rsidRPr="00F5103A">
        <w:rPr>
          <w:b/>
          <w:bCs/>
        </w:rPr>
        <w:t>"Sovereign Fortress" Model</w:t>
      </w:r>
    </w:p>
    <w:p w14:paraId="21F3CFA7" w14:textId="7B31C15C" w:rsidR="00A10E20" w:rsidRDefault="00432FF1" w:rsidP="00432FF1">
      <w:pPr>
        <w:spacing w:after="120" w:line="240" w:lineRule="auto"/>
        <w:rPr>
          <w:sz w:val="22"/>
          <w:szCs w:val="22"/>
        </w:rPr>
      </w:pPr>
      <w:r>
        <w:rPr>
          <w:sz w:val="22"/>
          <w:szCs w:val="22"/>
        </w:rPr>
        <w:t xml:space="preserve">As </w:t>
      </w:r>
      <w:r w:rsidR="00C84D58">
        <w:rPr>
          <w:sz w:val="22"/>
          <w:szCs w:val="22"/>
        </w:rPr>
        <w:t>a</w:t>
      </w:r>
      <w:r>
        <w:rPr>
          <w:sz w:val="22"/>
          <w:szCs w:val="22"/>
        </w:rPr>
        <w:t xml:space="preserve"> </w:t>
      </w:r>
      <w:r w:rsidRPr="00DB4EEC">
        <w:rPr>
          <w:b/>
          <w:bCs/>
          <w:sz w:val="22"/>
          <w:szCs w:val="22"/>
        </w:rPr>
        <w:t>Systemically Important Financial Utility</w:t>
      </w:r>
      <w:r w:rsidR="00C84D58">
        <w:rPr>
          <w:b/>
          <w:bCs/>
          <w:sz w:val="22"/>
          <w:szCs w:val="22"/>
        </w:rPr>
        <w:t xml:space="preserve"> </w:t>
      </w:r>
      <w:r w:rsidR="00C84D58" w:rsidRPr="00C84D58">
        <w:rPr>
          <w:sz w:val="22"/>
          <w:szCs w:val="22"/>
        </w:rPr>
        <w:t>by design</w:t>
      </w:r>
      <w:r w:rsidRPr="00C84D58">
        <w:rPr>
          <w:sz w:val="22"/>
          <w:szCs w:val="22"/>
        </w:rPr>
        <w:t>,</w:t>
      </w:r>
      <w:r w:rsidRPr="00F5103A">
        <w:rPr>
          <w:sz w:val="22"/>
          <w:szCs w:val="22"/>
        </w:rPr>
        <w:t xml:space="preserve"> </w:t>
      </w:r>
      <w:r w:rsidR="00A10E20" w:rsidRPr="00F5103A">
        <w:rPr>
          <w:sz w:val="22"/>
          <w:szCs w:val="22"/>
        </w:rPr>
        <w:t xml:space="preserve">GSCX </w:t>
      </w:r>
      <w:r w:rsidR="00C84D58">
        <w:rPr>
          <w:sz w:val="22"/>
          <w:szCs w:val="22"/>
        </w:rPr>
        <w:t>aims to</w:t>
      </w:r>
      <w:r w:rsidR="00A10E20" w:rsidRPr="00F5103A">
        <w:rPr>
          <w:sz w:val="22"/>
          <w:szCs w:val="22"/>
        </w:rPr>
        <w:t xml:space="preserve"> utilize </w:t>
      </w:r>
      <w:r w:rsidR="00A10E20" w:rsidRPr="00F5103A">
        <w:rPr>
          <w:b/>
          <w:bCs/>
          <w:sz w:val="22"/>
          <w:szCs w:val="22"/>
        </w:rPr>
        <w:t>Primary-Active/ Secondary-Warm</w:t>
      </w:r>
      <w:r w:rsidR="00A10E20" w:rsidRPr="00F5103A">
        <w:rPr>
          <w:sz w:val="22"/>
          <w:szCs w:val="22"/>
        </w:rPr>
        <w:t xml:space="preserve"> architecture</w:t>
      </w:r>
      <w:r w:rsidR="00A10E20">
        <w:rPr>
          <w:sz w:val="22"/>
          <w:szCs w:val="22"/>
        </w:rPr>
        <w:t>:</w:t>
      </w:r>
      <w:r w:rsidR="00A10E20" w:rsidRPr="00F5103A">
        <w:rPr>
          <w:sz w:val="22"/>
          <w:szCs w:val="22"/>
        </w:rPr>
        <w:t xml:space="preserve"> </w:t>
      </w:r>
    </w:p>
    <w:p w14:paraId="3A2E5DD0" w14:textId="53B18C55" w:rsidR="00962627" w:rsidRDefault="00A10E20" w:rsidP="00432FF1">
      <w:pPr>
        <w:spacing w:after="120" w:line="240" w:lineRule="auto"/>
        <w:rPr>
          <w:sz w:val="22"/>
          <w:szCs w:val="22"/>
        </w:rPr>
      </w:pPr>
      <w:r w:rsidRPr="00F5103A">
        <w:rPr>
          <w:sz w:val="22"/>
          <w:szCs w:val="22"/>
        </w:rPr>
        <w:t xml:space="preserve">The primary custodial engine </w:t>
      </w:r>
      <w:r>
        <w:rPr>
          <w:sz w:val="22"/>
          <w:szCs w:val="22"/>
        </w:rPr>
        <w:t xml:space="preserve">will </w:t>
      </w:r>
      <w:r w:rsidR="00432FF1" w:rsidRPr="00F5103A">
        <w:rPr>
          <w:sz w:val="22"/>
          <w:szCs w:val="22"/>
        </w:rPr>
        <w:t>reside</w:t>
      </w:r>
      <w:r w:rsidRPr="00F5103A">
        <w:rPr>
          <w:sz w:val="22"/>
          <w:szCs w:val="22"/>
        </w:rPr>
        <w:t xml:space="preserve"> on </w:t>
      </w:r>
      <w:r w:rsidRPr="00F5103A">
        <w:rPr>
          <w:b/>
          <w:bCs/>
          <w:sz w:val="22"/>
          <w:szCs w:val="22"/>
        </w:rPr>
        <w:t>IBM LinuxONE</w:t>
      </w:r>
      <w:r w:rsidRPr="00F5103A">
        <w:rPr>
          <w:sz w:val="22"/>
          <w:szCs w:val="22"/>
        </w:rPr>
        <w:t xml:space="preserve"> in Tier IV US </w:t>
      </w:r>
      <w:r>
        <w:rPr>
          <w:sz w:val="22"/>
          <w:szCs w:val="22"/>
        </w:rPr>
        <w:t xml:space="preserve">and Switzerland </w:t>
      </w:r>
      <w:r w:rsidRPr="00F5103A">
        <w:rPr>
          <w:sz w:val="22"/>
          <w:szCs w:val="22"/>
        </w:rPr>
        <w:t>datacenter</w:t>
      </w:r>
      <w:r>
        <w:rPr>
          <w:sz w:val="22"/>
          <w:szCs w:val="22"/>
        </w:rPr>
        <w:t>s</w:t>
      </w:r>
      <w:r w:rsidRPr="00F5103A">
        <w:rPr>
          <w:sz w:val="22"/>
          <w:szCs w:val="22"/>
        </w:rPr>
        <w:t xml:space="preserve">, providing military-grade isolation (EAL5+). </w:t>
      </w:r>
    </w:p>
    <w:p w14:paraId="1C7B158A" w14:textId="6B9E7D00" w:rsidR="00A10E20" w:rsidRPr="00F5103A" w:rsidRDefault="00A10E20" w:rsidP="00432FF1">
      <w:pPr>
        <w:spacing w:after="120" w:line="240" w:lineRule="auto"/>
        <w:rPr>
          <w:sz w:val="22"/>
          <w:szCs w:val="22"/>
        </w:rPr>
      </w:pPr>
      <w:r w:rsidRPr="00F5103A">
        <w:rPr>
          <w:sz w:val="22"/>
          <w:szCs w:val="22"/>
        </w:rPr>
        <w:t xml:space="preserve">The redundancy layer </w:t>
      </w:r>
      <w:r>
        <w:rPr>
          <w:sz w:val="22"/>
          <w:szCs w:val="22"/>
        </w:rPr>
        <w:t>will be</w:t>
      </w:r>
      <w:r w:rsidRPr="00F5103A">
        <w:rPr>
          <w:sz w:val="22"/>
          <w:szCs w:val="22"/>
        </w:rPr>
        <w:t xml:space="preserve"> hosted within a </w:t>
      </w:r>
      <w:r w:rsidRPr="00F5103A">
        <w:rPr>
          <w:b/>
          <w:bCs/>
          <w:sz w:val="22"/>
          <w:szCs w:val="22"/>
        </w:rPr>
        <w:t>Bermuda-based Cloud</w:t>
      </w:r>
      <w:r w:rsidRPr="00F5103A">
        <w:rPr>
          <w:sz w:val="22"/>
          <w:szCs w:val="22"/>
        </w:rPr>
        <w:t xml:space="preserve"> (Brava/Digicel), ensuring local "Control of Assets" and jurisdictional data residency</w:t>
      </w:r>
      <w:r w:rsidR="00432FF1">
        <w:rPr>
          <w:sz w:val="22"/>
          <w:szCs w:val="22"/>
        </w:rPr>
        <w:t>, and satisfying BMA’s Bermuda Residency requirement.</w:t>
      </w:r>
    </w:p>
    <w:p w14:paraId="5F8B8E11" w14:textId="77777777" w:rsidR="00432FF1" w:rsidRDefault="00A10E20" w:rsidP="00432FF1">
      <w:pPr>
        <w:spacing w:after="120" w:line="240" w:lineRule="auto"/>
        <w:rPr>
          <w:sz w:val="22"/>
          <w:szCs w:val="22"/>
        </w:rPr>
      </w:pPr>
      <w:r w:rsidRPr="006D31AF">
        <w:rPr>
          <w:b/>
          <w:bCs/>
          <w:sz w:val="22"/>
          <w:szCs w:val="22"/>
        </w:rPr>
        <w:t>EAL5+</w:t>
      </w:r>
      <w:r w:rsidRPr="006D31AF">
        <w:rPr>
          <w:sz w:val="22"/>
          <w:szCs w:val="22"/>
        </w:rPr>
        <w:t xml:space="preserve"> (Evaluation Assurance Level 5+) is a security rating assigned to IT products, particularly semiconductors and operating systems, under the </w:t>
      </w:r>
      <w:r w:rsidRPr="006D31AF">
        <w:rPr>
          <w:b/>
          <w:bCs/>
          <w:sz w:val="22"/>
          <w:szCs w:val="22"/>
        </w:rPr>
        <w:t>Common Criteria for Information Technology Security Evaluation</w:t>
      </w:r>
      <w:r w:rsidRPr="006D31AF">
        <w:rPr>
          <w:sz w:val="22"/>
          <w:szCs w:val="22"/>
        </w:rPr>
        <w:t xml:space="preserve"> (an international standard known as ISO/IEC 15408), representing the highest commercially available security certification, bridging the gap between standard enterprise systems and specialized military/government hardware. </w:t>
      </w:r>
    </w:p>
    <w:p w14:paraId="7497EE4B" w14:textId="0638FF94" w:rsidR="00432FF1" w:rsidRDefault="00A10E20" w:rsidP="00432FF1">
      <w:pPr>
        <w:spacing w:after="120" w:line="240" w:lineRule="auto"/>
        <w:rPr>
          <w:sz w:val="22"/>
          <w:szCs w:val="22"/>
        </w:rPr>
      </w:pPr>
      <w:r w:rsidRPr="006D31AF">
        <w:rPr>
          <w:b/>
          <w:bCs/>
          <w:sz w:val="22"/>
          <w:szCs w:val="22"/>
        </w:rPr>
        <w:t>EAL5 (Semi</w:t>
      </w:r>
      <w:r w:rsidR="00F37771">
        <w:rPr>
          <w:b/>
          <w:bCs/>
          <w:sz w:val="22"/>
          <w:szCs w:val="22"/>
        </w:rPr>
        <w:t>-</w:t>
      </w:r>
      <w:r w:rsidRPr="006D31AF">
        <w:rPr>
          <w:b/>
          <w:bCs/>
          <w:sz w:val="22"/>
          <w:szCs w:val="22"/>
        </w:rPr>
        <w:t>formally Designed and Tested):</w:t>
      </w:r>
      <w:r w:rsidRPr="006D31AF">
        <w:rPr>
          <w:sz w:val="22"/>
          <w:szCs w:val="22"/>
        </w:rPr>
        <w:t xml:space="preserve"> The product </w:t>
      </w:r>
      <w:r w:rsidR="00432FF1">
        <w:rPr>
          <w:sz w:val="22"/>
          <w:szCs w:val="22"/>
        </w:rPr>
        <w:t>has been</w:t>
      </w:r>
      <w:r w:rsidRPr="006D31AF">
        <w:rPr>
          <w:sz w:val="22"/>
          <w:szCs w:val="22"/>
        </w:rPr>
        <w:t xml:space="preserve"> designed and tested to a high level of security, involving a full review of the architecture and formal models of its security policy. </w:t>
      </w:r>
    </w:p>
    <w:p w14:paraId="38F601B6" w14:textId="701F1C92" w:rsidR="00A10E20" w:rsidRDefault="00A10E20" w:rsidP="000540B0">
      <w:pPr>
        <w:spacing w:after="120" w:line="240" w:lineRule="auto"/>
        <w:rPr>
          <w:sz w:val="22"/>
          <w:szCs w:val="22"/>
        </w:rPr>
      </w:pPr>
      <w:r w:rsidRPr="006D31AF">
        <w:rPr>
          <w:sz w:val="22"/>
          <w:szCs w:val="22"/>
        </w:rPr>
        <w:lastRenderedPageBreak/>
        <w:t xml:space="preserve">The </w:t>
      </w:r>
      <w:r w:rsidRPr="00432FF1">
        <w:rPr>
          <w:b/>
          <w:bCs/>
          <w:sz w:val="22"/>
          <w:szCs w:val="22"/>
        </w:rPr>
        <w:t>"+"</w:t>
      </w:r>
      <w:r w:rsidRPr="006D31AF">
        <w:rPr>
          <w:sz w:val="22"/>
          <w:szCs w:val="22"/>
        </w:rPr>
        <w:t xml:space="preserve"> </w:t>
      </w:r>
      <w:r>
        <w:rPr>
          <w:sz w:val="22"/>
          <w:szCs w:val="22"/>
        </w:rPr>
        <w:t xml:space="preserve">indicates that the product has exceeded the Level 5 baseline requirements </w:t>
      </w:r>
      <w:r w:rsidRPr="006D31AF">
        <w:rPr>
          <w:sz w:val="22"/>
          <w:szCs w:val="22"/>
        </w:rPr>
        <w:t xml:space="preserve">in specific areas. For IBM LinuxONE, this usually refers to </w:t>
      </w:r>
      <w:r w:rsidRPr="006D31AF">
        <w:rPr>
          <w:b/>
          <w:bCs/>
          <w:sz w:val="22"/>
          <w:szCs w:val="22"/>
        </w:rPr>
        <w:t>ALC_FLR.1</w:t>
      </w:r>
      <w:r w:rsidRPr="006D31AF">
        <w:rPr>
          <w:sz w:val="22"/>
          <w:szCs w:val="22"/>
        </w:rPr>
        <w:t xml:space="preserve"> (Flaw Remediation) or highly advanced vulnerability analysis.</w:t>
      </w:r>
    </w:p>
    <w:p w14:paraId="50AC6DE5" w14:textId="77777777" w:rsidR="00A10E20" w:rsidRPr="006D31AF" w:rsidRDefault="00A10E20" w:rsidP="000540B0">
      <w:pPr>
        <w:spacing w:after="120" w:line="240" w:lineRule="auto"/>
        <w:rPr>
          <w:sz w:val="22"/>
          <w:szCs w:val="22"/>
        </w:rPr>
      </w:pPr>
      <w:r w:rsidRPr="006D31AF">
        <w:rPr>
          <w:sz w:val="22"/>
          <w:szCs w:val="22"/>
        </w:rPr>
        <w:t xml:space="preserve">The primary reason GSCX </w:t>
      </w:r>
      <w:r>
        <w:rPr>
          <w:sz w:val="22"/>
          <w:szCs w:val="22"/>
        </w:rPr>
        <w:t>needs to utilize</w:t>
      </w:r>
      <w:r w:rsidRPr="006D31AF">
        <w:rPr>
          <w:sz w:val="22"/>
          <w:szCs w:val="22"/>
        </w:rPr>
        <w:t xml:space="preserve"> EAL5+ certified hardware (the IBM LinuxONE) is to achieve </w:t>
      </w:r>
      <w:r w:rsidRPr="006D31AF">
        <w:rPr>
          <w:b/>
          <w:bCs/>
          <w:sz w:val="22"/>
          <w:szCs w:val="22"/>
        </w:rPr>
        <w:t>LPAR (Logical Partition) Isolation</w:t>
      </w:r>
      <w:r w:rsidRPr="006D31AF">
        <w:rPr>
          <w:sz w:val="22"/>
          <w:szCs w:val="22"/>
        </w:rPr>
        <w:t>.</w:t>
      </w:r>
    </w:p>
    <w:p w14:paraId="0200CEAD" w14:textId="77777777" w:rsidR="00A10E20" w:rsidRPr="006D31AF" w:rsidRDefault="00A10E20" w:rsidP="000540B0">
      <w:pPr>
        <w:numPr>
          <w:ilvl w:val="0"/>
          <w:numId w:val="21"/>
        </w:numPr>
        <w:spacing w:after="120" w:line="240" w:lineRule="auto"/>
        <w:rPr>
          <w:sz w:val="22"/>
          <w:szCs w:val="22"/>
        </w:rPr>
      </w:pPr>
      <w:r w:rsidRPr="006D31AF">
        <w:rPr>
          <w:b/>
          <w:bCs/>
          <w:sz w:val="22"/>
          <w:szCs w:val="22"/>
        </w:rPr>
        <w:t>Hardware-Level Virtualization:</w:t>
      </w:r>
      <w:r w:rsidRPr="006D31AF">
        <w:rPr>
          <w:sz w:val="22"/>
          <w:szCs w:val="22"/>
        </w:rPr>
        <w:t xml:space="preserve"> Standard cloud servers (like x86) often have "leaky" virtualization where one user might theoretically access another’s data through side-channel attacks.</w:t>
      </w:r>
    </w:p>
    <w:p w14:paraId="74056636" w14:textId="5BD4AFAB" w:rsidR="00A10E20" w:rsidRDefault="00A10E20" w:rsidP="000540B0">
      <w:pPr>
        <w:numPr>
          <w:ilvl w:val="0"/>
          <w:numId w:val="21"/>
        </w:numPr>
        <w:spacing w:after="120" w:line="240" w:lineRule="auto"/>
        <w:rPr>
          <w:sz w:val="22"/>
          <w:szCs w:val="22"/>
        </w:rPr>
      </w:pPr>
      <w:r w:rsidRPr="006D31AF">
        <w:rPr>
          <w:b/>
          <w:bCs/>
          <w:sz w:val="22"/>
          <w:szCs w:val="22"/>
        </w:rPr>
        <w:t>Absolute Separation:</w:t>
      </w:r>
      <w:r w:rsidRPr="006D31AF">
        <w:rPr>
          <w:sz w:val="22"/>
          <w:szCs w:val="22"/>
        </w:rPr>
        <w:t xml:space="preserve"> An EAL5+ rating on LinuxONE guarantees that the logical partitions (LPARs) are as secure as if they were physically separate computers. This </w:t>
      </w:r>
      <w:r>
        <w:rPr>
          <w:sz w:val="22"/>
          <w:szCs w:val="22"/>
        </w:rPr>
        <w:t xml:space="preserve">will </w:t>
      </w:r>
      <w:r w:rsidRPr="006D31AF">
        <w:rPr>
          <w:sz w:val="22"/>
          <w:szCs w:val="22"/>
        </w:rPr>
        <w:t xml:space="preserve">allow GSCX to host </w:t>
      </w:r>
      <w:r w:rsidR="00432FF1">
        <w:rPr>
          <w:sz w:val="22"/>
          <w:szCs w:val="22"/>
        </w:rPr>
        <w:t>client</w:t>
      </w:r>
      <w:r w:rsidRPr="006D31AF">
        <w:rPr>
          <w:sz w:val="22"/>
          <w:szCs w:val="22"/>
        </w:rPr>
        <w:t xml:space="preserve"> data </w:t>
      </w:r>
      <w:r>
        <w:rPr>
          <w:sz w:val="22"/>
          <w:szCs w:val="22"/>
        </w:rPr>
        <w:t>in a common environment</w:t>
      </w:r>
      <w:r w:rsidRPr="006D31AF">
        <w:rPr>
          <w:sz w:val="22"/>
          <w:szCs w:val="22"/>
        </w:rPr>
        <w:t xml:space="preserve"> while maintaining a legally and technically "air-gapped" environment.</w:t>
      </w:r>
    </w:p>
    <w:p w14:paraId="2B277325" w14:textId="77777777" w:rsidR="007C2C6E" w:rsidRPr="000540B0" w:rsidRDefault="007C2C6E" w:rsidP="000540B0">
      <w:pPr>
        <w:rPr>
          <w:b/>
          <w:bCs/>
          <w:sz w:val="22"/>
          <w:szCs w:val="22"/>
        </w:rPr>
      </w:pPr>
      <w:r w:rsidRPr="000540B0">
        <w:rPr>
          <w:b/>
          <w:bCs/>
          <w:sz w:val="22"/>
          <w:szCs w:val="22"/>
        </w:rPr>
        <w:t>Summary Table: EAL Comparison</w:t>
      </w:r>
    </w:p>
    <w:tbl>
      <w:tblPr>
        <w:tblW w:w="9442" w:type="dxa"/>
        <w:tblCellSpacing w:w="15" w:type="dxa"/>
        <w:tblCellMar>
          <w:top w:w="15" w:type="dxa"/>
          <w:left w:w="15" w:type="dxa"/>
          <w:bottom w:w="15" w:type="dxa"/>
          <w:right w:w="15" w:type="dxa"/>
        </w:tblCellMar>
        <w:tblLook w:val="04A0" w:firstRow="1" w:lastRow="0" w:firstColumn="1" w:lastColumn="0" w:noHBand="0" w:noVBand="1"/>
      </w:tblPr>
      <w:tblGrid>
        <w:gridCol w:w="1072"/>
        <w:gridCol w:w="1890"/>
        <w:gridCol w:w="6480"/>
      </w:tblGrid>
      <w:tr w:rsidR="007C2C6E" w:rsidRPr="006D31AF" w14:paraId="2CD483DD" w14:textId="77777777" w:rsidTr="007C2C6E">
        <w:trPr>
          <w:tblCellSpacing w:w="15" w:type="dxa"/>
        </w:trPr>
        <w:tc>
          <w:tcPr>
            <w:tcW w:w="1027" w:type="dxa"/>
            <w:tcBorders>
              <w:top w:val="single" w:sz="6" w:space="0" w:color="auto"/>
              <w:left w:val="single" w:sz="6" w:space="0" w:color="auto"/>
              <w:bottom w:val="single" w:sz="6" w:space="0" w:color="auto"/>
              <w:right w:val="single" w:sz="6" w:space="0" w:color="auto"/>
            </w:tcBorders>
            <w:vAlign w:val="center"/>
            <w:hideMark/>
          </w:tcPr>
          <w:p w14:paraId="237912BB" w14:textId="77777777" w:rsidR="007C2C6E" w:rsidRPr="006D31AF" w:rsidRDefault="007C2C6E" w:rsidP="007C2C6E">
            <w:pPr>
              <w:ind w:left="110"/>
              <w:rPr>
                <w:sz w:val="22"/>
                <w:szCs w:val="22"/>
              </w:rPr>
            </w:pPr>
            <w:r w:rsidRPr="006D31AF">
              <w:rPr>
                <w:b/>
                <w:bCs/>
                <w:sz w:val="22"/>
                <w:szCs w:val="22"/>
              </w:rPr>
              <w:t>Level</w:t>
            </w:r>
          </w:p>
        </w:tc>
        <w:tc>
          <w:tcPr>
            <w:tcW w:w="1860" w:type="dxa"/>
            <w:tcBorders>
              <w:top w:val="single" w:sz="6" w:space="0" w:color="auto"/>
              <w:left w:val="single" w:sz="6" w:space="0" w:color="auto"/>
              <w:bottom w:val="single" w:sz="6" w:space="0" w:color="auto"/>
              <w:right w:val="single" w:sz="6" w:space="0" w:color="auto"/>
            </w:tcBorders>
            <w:vAlign w:val="center"/>
            <w:hideMark/>
          </w:tcPr>
          <w:p w14:paraId="76D063ED" w14:textId="77777777" w:rsidR="007C2C6E" w:rsidRPr="006D31AF" w:rsidRDefault="007C2C6E" w:rsidP="007C2C6E">
            <w:pPr>
              <w:ind w:left="110"/>
              <w:rPr>
                <w:sz w:val="22"/>
                <w:szCs w:val="22"/>
              </w:rPr>
            </w:pPr>
            <w:r w:rsidRPr="006D31AF">
              <w:rPr>
                <w:b/>
                <w:bCs/>
                <w:sz w:val="22"/>
                <w:szCs w:val="22"/>
              </w:rPr>
              <w:t>Name</w:t>
            </w:r>
          </w:p>
        </w:tc>
        <w:tc>
          <w:tcPr>
            <w:tcW w:w="6435" w:type="dxa"/>
            <w:tcBorders>
              <w:top w:val="single" w:sz="6" w:space="0" w:color="auto"/>
              <w:left w:val="single" w:sz="6" w:space="0" w:color="auto"/>
              <w:bottom w:val="single" w:sz="6" w:space="0" w:color="auto"/>
              <w:right w:val="single" w:sz="6" w:space="0" w:color="auto"/>
            </w:tcBorders>
            <w:vAlign w:val="center"/>
            <w:hideMark/>
          </w:tcPr>
          <w:p w14:paraId="33966CB1" w14:textId="77777777" w:rsidR="007C2C6E" w:rsidRPr="006D31AF" w:rsidRDefault="007C2C6E" w:rsidP="007C2C6E">
            <w:pPr>
              <w:ind w:left="110"/>
              <w:rPr>
                <w:sz w:val="22"/>
                <w:szCs w:val="22"/>
              </w:rPr>
            </w:pPr>
            <w:r w:rsidRPr="006D31AF">
              <w:rPr>
                <w:b/>
                <w:bCs/>
                <w:sz w:val="22"/>
                <w:szCs w:val="22"/>
              </w:rPr>
              <w:t>Typical Use Case</w:t>
            </w:r>
          </w:p>
        </w:tc>
      </w:tr>
      <w:tr w:rsidR="007C2C6E" w:rsidRPr="006D31AF" w14:paraId="57AC9067" w14:textId="77777777" w:rsidTr="007C2C6E">
        <w:trPr>
          <w:tblCellSpacing w:w="15" w:type="dxa"/>
        </w:trPr>
        <w:tc>
          <w:tcPr>
            <w:tcW w:w="1027" w:type="dxa"/>
            <w:tcBorders>
              <w:top w:val="single" w:sz="6" w:space="0" w:color="auto"/>
              <w:left w:val="single" w:sz="6" w:space="0" w:color="auto"/>
              <w:bottom w:val="single" w:sz="6" w:space="0" w:color="auto"/>
              <w:right w:val="single" w:sz="6" w:space="0" w:color="auto"/>
            </w:tcBorders>
            <w:vAlign w:val="center"/>
            <w:hideMark/>
          </w:tcPr>
          <w:p w14:paraId="6FD38CA6" w14:textId="77777777" w:rsidR="007C2C6E" w:rsidRPr="006D31AF" w:rsidRDefault="007C2C6E" w:rsidP="007C2C6E">
            <w:pPr>
              <w:ind w:left="110"/>
              <w:rPr>
                <w:sz w:val="22"/>
                <w:szCs w:val="22"/>
              </w:rPr>
            </w:pPr>
            <w:r w:rsidRPr="006D31AF">
              <w:rPr>
                <w:b/>
                <w:bCs/>
                <w:sz w:val="22"/>
                <w:szCs w:val="22"/>
              </w:rPr>
              <w:t>EAL1–2</w:t>
            </w:r>
          </w:p>
        </w:tc>
        <w:tc>
          <w:tcPr>
            <w:tcW w:w="1860" w:type="dxa"/>
            <w:tcBorders>
              <w:top w:val="single" w:sz="6" w:space="0" w:color="auto"/>
              <w:left w:val="single" w:sz="6" w:space="0" w:color="auto"/>
              <w:bottom w:val="single" w:sz="6" w:space="0" w:color="auto"/>
              <w:right w:val="single" w:sz="6" w:space="0" w:color="auto"/>
            </w:tcBorders>
            <w:vAlign w:val="center"/>
            <w:hideMark/>
          </w:tcPr>
          <w:p w14:paraId="21C7B491" w14:textId="77777777" w:rsidR="007C2C6E" w:rsidRPr="006D31AF" w:rsidRDefault="007C2C6E" w:rsidP="007C2C6E">
            <w:pPr>
              <w:ind w:left="110"/>
              <w:rPr>
                <w:sz w:val="22"/>
                <w:szCs w:val="22"/>
              </w:rPr>
            </w:pPr>
            <w:r w:rsidRPr="006D31AF">
              <w:rPr>
                <w:sz w:val="22"/>
                <w:szCs w:val="22"/>
              </w:rPr>
              <w:t>Basic/Structurally Tested</w:t>
            </w:r>
          </w:p>
        </w:tc>
        <w:tc>
          <w:tcPr>
            <w:tcW w:w="6435" w:type="dxa"/>
            <w:tcBorders>
              <w:top w:val="single" w:sz="6" w:space="0" w:color="auto"/>
              <w:left w:val="single" w:sz="6" w:space="0" w:color="auto"/>
              <w:bottom w:val="single" w:sz="6" w:space="0" w:color="auto"/>
              <w:right w:val="single" w:sz="6" w:space="0" w:color="auto"/>
            </w:tcBorders>
            <w:vAlign w:val="center"/>
            <w:hideMark/>
          </w:tcPr>
          <w:p w14:paraId="0566E6B0" w14:textId="77777777" w:rsidR="007C2C6E" w:rsidRPr="006D31AF" w:rsidRDefault="007C2C6E" w:rsidP="007C2C6E">
            <w:pPr>
              <w:ind w:left="110"/>
              <w:rPr>
                <w:sz w:val="22"/>
                <w:szCs w:val="22"/>
              </w:rPr>
            </w:pPr>
            <w:r w:rsidRPr="006D31AF">
              <w:rPr>
                <w:sz w:val="22"/>
                <w:szCs w:val="22"/>
              </w:rPr>
              <w:t>Mass-market consumer software.</w:t>
            </w:r>
          </w:p>
        </w:tc>
      </w:tr>
      <w:tr w:rsidR="007C2C6E" w:rsidRPr="006D31AF" w14:paraId="1AD6C37A" w14:textId="77777777" w:rsidTr="007C2C6E">
        <w:trPr>
          <w:tblCellSpacing w:w="15" w:type="dxa"/>
        </w:trPr>
        <w:tc>
          <w:tcPr>
            <w:tcW w:w="1027" w:type="dxa"/>
            <w:tcBorders>
              <w:top w:val="single" w:sz="6" w:space="0" w:color="auto"/>
              <w:left w:val="single" w:sz="6" w:space="0" w:color="auto"/>
              <w:bottom w:val="single" w:sz="6" w:space="0" w:color="auto"/>
              <w:right w:val="single" w:sz="6" w:space="0" w:color="auto"/>
            </w:tcBorders>
            <w:vAlign w:val="center"/>
            <w:hideMark/>
          </w:tcPr>
          <w:p w14:paraId="122CAE8A" w14:textId="77777777" w:rsidR="007C2C6E" w:rsidRPr="006D31AF" w:rsidRDefault="007C2C6E" w:rsidP="007C2C6E">
            <w:pPr>
              <w:ind w:left="110"/>
              <w:rPr>
                <w:sz w:val="22"/>
                <w:szCs w:val="22"/>
              </w:rPr>
            </w:pPr>
            <w:r w:rsidRPr="006D31AF">
              <w:rPr>
                <w:b/>
                <w:bCs/>
                <w:sz w:val="22"/>
                <w:szCs w:val="22"/>
              </w:rPr>
              <w:t>EAL4</w:t>
            </w:r>
          </w:p>
        </w:tc>
        <w:tc>
          <w:tcPr>
            <w:tcW w:w="1860" w:type="dxa"/>
            <w:tcBorders>
              <w:top w:val="single" w:sz="6" w:space="0" w:color="auto"/>
              <w:left w:val="single" w:sz="6" w:space="0" w:color="auto"/>
              <w:bottom w:val="single" w:sz="6" w:space="0" w:color="auto"/>
              <w:right w:val="single" w:sz="6" w:space="0" w:color="auto"/>
            </w:tcBorders>
            <w:vAlign w:val="center"/>
            <w:hideMark/>
          </w:tcPr>
          <w:p w14:paraId="5730A5EB" w14:textId="77777777" w:rsidR="007C2C6E" w:rsidRPr="006D31AF" w:rsidRDefault="007C2C6E" w:rsidP="007C2C6E">
            <w:pPr>
              <w:ind w:left="110"/>
              <w:rPr>
                <w:sz w:val="22"/>
                <w:szCs w:val="22"/>
              </w:rPr>
            </w:pPr>
            <w:r w:rsidRPr="006D31AF">
              <w:rPr>
                <w:sz w:val="22"/>
                <w:szCs w:val="22"/>
              </w:rPr>
              <w:t>Methodically Designed</w:t>
            </w:r>
          </w:p>
        </w:tc>
        <w:tc>
          <w:tcPr>
            <w:tcW w:w="6435" w:type="dxa"/>
            <w:tcBorders>
              <w:top w:val="single" w:sz="6" w:space="0" w:color="auto"/>
              <w:left w:val="single" w:sz="6" w:space="0" w:color="auto"/>
              <w:bottom w:val="single" w:sz="6" w:space="0" w:color="auto"/>
              <w:right w:val="single" w:sz="6" w:space="0" w:color="auto"/>
            </w:tcBorders>
            <w:vAlign w:val="center"/>
            <w:hideMark/>
          </w:tcPr>
          <w:p w14:paraId="005A14A6" w14:textId="77777777" w:rsidR="007C2C6E" w:rsidRPr="006D31AF" w:rsidRDefault="007C2C6E" w:rsidP="007C2C6E">
            <w:pPr>
              <w:ind w:left="110"/>
              <w:rPr>
                <w:sz w:val="22"/>
                <w:szCs w:val="22"/>
              </w:rPr>
            </w:pPr>
            <w:r w:rsidRPr="006D31AF">
              <w:rPr>
                <w:sz w:val="22"/>
                <w:szCs w:val="22"/>
              </w:rPr>
              <w:t>High-end enterprise firewalls and standard business OS.</w:t>
            </w:r>
          </w:p>
        </w:tc>
      </w:tr>
      <w:tr w:rsidR="007C2C6E" w:rsidRPr="006D31AF" w14:paraId="48175EFD" w14:textId="77777777" w:rsidTr="007C2C6E">
        <w:trPr>
          <w:tblCellSpacing w:w="15" w:type="dxa"/>
        </w:trPr>
        <w:tc>
          <w:tcPr>
            <w:tcW w:w="1027" w:type="dxa"/>
            <w:tcBorders>
              <w:top w:val="single" w:sz="6" w:space="0" w:color="auto"/>
              <w:left w:val="single" w:sz="6" w:space="0" w:color="auto"/>
              <w:bottom w:val="single" w:sz="6" w:space="0" w:color="auto"/>
              <w:right w:val="single" w:sz="6" w:space="0" w:color="auto"/>
            </w:tcBorders>
            <w:vAlign w:val="center"/>
            <w:hideMark/>
          </w:tcPr>
          <w:p w14:paraId="3C15E861" w14:textId="77777777" w:rsidR="007C2C6E" w:rsidRPr="006D31AF" w:rsidRDefault="007C2C6E" w:rsidP="007C2C6E">
            <w:pPr>
              <w:ind w:left="110"/>
              <w:rPr>
                <w:sz w:val="22"/>
                <w:szCs w:val="22"/>
              </w:rPr>
            </w:pPr>
            <w:r w:rsidRPr="006D31AF">
              <w:rPr>
                <w:b/>
                <w:bCs/>
                <w:sz w:val="22"/>
                <w:szCs w:val="22"/>
              </w:rPr>
              <w:t>EAL5+</w:t>
            </w:r>
          </w:p>
        </w:tc>
        <w:tc>
          <w:tcPr>
            <w:tcW w:w="1860" w:type="dxa"/>
            <w:tcBorders>
              <w:top w:val="single" w:sz="6" w:space="0" w:color="auto"/>
              <w:left w:val="single" w:sz="6" w:space="0" w:color="auto"/>
              <w:bottom w:val="single" w:sz="6" w:space="0" w:color="auto"/>
              <w:right w:val="single" w:sz="6" w:space="0" w:color="auto"/>
            </w:tcBorders>
            <w:vAlign w:val="center"/>
            <w:hideMark/>
          </w:tcPr>
          <w:p w14:paraId="2F8096EC" w14:textId="6EACE8E0" w:rsidR="007C2C6E" w:rsidRPr="006D31AF" w:rsidRDefault="007C2C6E" w:rsidP="007C2C6E">
            <w:pPr>
              <w:ind w:left="110"/>
              <w:rPr>
                <w:sz w:val="22"/>
                <w:szCs w:val="22"/>
              </w:rPr>
            </w:pPr>
            <w:r w:rsidRPr="006D31AF">
              <w:rPr>
                <w:b/>
                <w:bCs/>
                <w:sz w:val="22"/>
                <w:szCs w:val="22"/>
              </w:rPr>
              <w:t>Semi</w:t>
            </w:r>
            <w:r w:rsidR="005E6039">
              <w:rPr>
                <w:b/>
                <w:bCs/>
                <w:sz w:val="22"/>
                <w:szCs w:val="22"/>
              </w:rPr>
              <w:t>-</w:t>
            </w:r>
            <w:r w:rsidRPr="006D31AF">
              <w:rPr>
                <w:b/>
                <w:bCs/>
                <w:sz w:val="22"/>
                <w:szCs w:val="22"/>
              </w:rPr>
              <w:t>formally Verified</w:t>
            </w:r>
          </w:p>
        </w:tc>
        <w:tc>
          <w:tcPr>
            <w:tcW w:w="6435" w:type="dxa"/>
            <w:tcBorders>
              <w:top w:val="single" w:sz="6" w:space="0" w:color="auto"/>
              <w:left w:val="single" w:sz="6" w:space="0" w:color="auto"/>
              <w:bottom w:val="single" w:sz="6" w:space="0" w:color="auto"/>
              <w:right w:val="single" w:sz="6" w:space="0" w:color="auto"/>
            </w:tcBorders>
            <w:vAlign w:val="center"/>
            <w:hideMark/>
          </w:tcPr>
          <w:p w14:paraId="732AB2B9" w14:textId="77777777" w:rsidR="007C2C6E" w:rsidRPr="006D31AF" w:rsidRDefault="007C2C6E" w:rsidP="007C2C6E">
            <w:pPr>
              <w:ind w:left="110"/>
              <w:rPr>
                <w:sz w:val="22"/>
                <w:szCs w:val="22"/>
              </w:rPr>
            </w:pPr>
            <w:r w:rsidRPr="006D31AF">
              <w:rPr>
                <w:b/>
                <w:bCs/>
                <w:sz w:val="22"/>
                <w:szCs w:val="22"/>
              </w:rPr>
              <w:t>GSCX Infrastructure (IBM LinuxONE), Smart Cards, Sovereign Banking.</w:t>
            </w:r>
          </w:p>
        </w:tc>
      </w:tr>
      <w:tr w:rsidR="007C2C6E" w:rsidRPr="006D31AF" w14:paraId="56FA13A7" w14:textId="77777777" w:rsidTr="007C2C6E">
        <w:trPr>
          <w:tblCellSpacing w:w="15" w:type="dxa"/>
        </w:trPr>
        <w:tc>
          <w:tcPr>
            <w:tcW w:w="1027" w:type="dxa"/>
            <w:tcBorders>
              <w:top w:val="single" w:sz="6" w:space="0" w:color="auto"/>
              <w:left w:val="single" w:sz="6" w:space="0" w:color="auto"/>
              <w:bottom w:val="single" w:sz="6" w:space="0" w:color="auto"/>
              <w:right w:val="single" w:sz="6" w:space="0" w:color="auto"/>
            </w:tcBorders>
            <w:vAlign w:val="center"/>
            <w:hideMark/>
          </w:tcPr>
          <w:p w14:paraId="43A3EC72" w14:textId="77777777" w:rsidR="007C2C6E" w:rsidRPr="006D31AF" w:rsidRDefault="007C2C6E" w:rsidP="007C2C6E">
            <w:pPr>
              <w:ind w:left="110"/>
              <w:rPr>
                <w:sz w:val="22"/>
                <w:szCs w:val="22"/>
              </w:rPr>
            </w:pPr>
            <w:r w:rsidRPr="006D31AF">
              <w:rPr>
                <w:b/>
                <w:bCs/>
                <w:sz w:val="22"/>
                <w:szCs w:val="22"/>
              </w:rPr>
              <w:t>EAL6–7</w:t>
            </w:r>
          </w:p>
        </w:tc>
        <w:tc>
          <w:tcPr>
            <w:tcW w:w="1860" w:type="dxa"/>
            <w:tcBorders>
              <w:top w:val="single" w:sz="6" w:space="0" w:color="auto"/>
              <w:left w:val="single" w:sz="6" w:space="0" w:color="auto"/>
              <w:bottom w:val="single" w:sz="6" w:space="0" w:color="auto"/>
              <w:right w:val="single" w:sz="6" w:space="0" w:color="auto"/>
            </w:tcBorders>
            <w:vAlign w:val="center"/>
            <w:hideMark/>
          </w:tcPr>
          <w:p w14:paraId="02B2B7C5" w14:textId="77777777" w:rsidR="007C2C6E" w:rsidRPr="006D31AF" w:rsidRDefault="007C2C6E" w:rsidP="007C2C6E">
            <w:pPr>
              <w:ind w:left="110"/>
              <w:rPr>
                <w:sz w:val="22"/>
                <w:szCs w:val="22"/>
              </w:rPr>
            </w:pPr>
            <w:r w:rsidRPr="006D31AF">
              <w:rPr>
                <w:sz w:val="22"/>
                <w:szCs w:val="22"/>
              </w:rPr>
              <w:t>Formally Verified</w:t>
            </w:r>
          </w:p>
        </w:tc>
        <w:tc>
          <w:tcPr>
            <w:tcW w:w="6435" w:type="dxa"/>
            <w:tcBorders>
              <w:top w:val="single" w:sz="6" w:space="0" w:color="auto"/>
              <w:left w:val="single" w:sz="6" w:space="0" w:color="auto"/>
              <w:bottom w:val="single" w:sz="6" w:space="0" w:color="auto"/>
              <w:right w:val="single" w:sz="6" w:space="0" w:color="auto"/>
            </w:tcBorders>
            <w:vAlign w:val="center"/>
            <w:hideMark/>
          </w:tcPr>
          <w:p w14:paraId="1D40B8B1" w14:textId="77777777" w:rsidR="007C2C6E" w:rsidRPr="006D31AF" w:rsidRDefault="007C2C6E" w:rsidP="007C2C6E">
            <w:pPr>
              <w:ind w:left="110"/>
              <w:rPr>
                <w:sz w:val="22"/>
                <w:szCs w:val="22"/>
              </w:rPr>
            </w:pPr>
            <w:r w:rsidRPr="006D31AF">
              <w:rPr>
                <w:sz w:val="22"/>
                <w:szCs w:val="22"/>
              </w:rPr>
              <w:t>Extremely high-risk military/intelligence specialized systems.</w:t>
            </w:r>
          </w:p>
        </w:tc>
      </w:tr>
    </w:tbl>
    <w:p w14:paraId="7747D61F" w14:textId="0E053F18" w:rsidR="006C6369" w:rsidRPr="006C6369" w:rsidRDefault="003F48B3" w:rsidP="003F48B3">
      <w:pPr>
        <w:spacing w:before="120" w:after="120" w:line="240" w:lineRule="auto"/>
        <w:rPr>
          <w:sz w:val="22"/>
          <w:szCs w:val="22"/>
        </w:rPr>
      </w:pPr>
      <w:r>
        <w:rPr>
          <w:sz w:val="22"/>
          <w:szCs w:val="22"/>
        </w:rPr>
        <w:t>I</w:t>
      </w:r>
      <w:r w:rsidRPr="006C6369">
        <w:rPr>
          <w:sz w:val="22"/>
          <w:szCs w:val="22"/>
        </w:rPr>
        <w:t>n regulatory terms</w:t>
      </w:r>
      <w:r>
        <w:rPr>
          <w:sz w:val="22"/>
          <w:szCs w:val="22"/>
        </w:rPr>
        <w:t xml:space="preserve">, </w:t>
      </w:r>
      <w:r>
        <w:rPr>
          <w:sz w:val="22"/>
          <w:szCs w:val="22"/>
        </w:rPr>
        <w:t>a</w:t>
      </w:r>
      <w:r w:rsidR="006C6369" w:rsidRPr="006C6369">
        <w:rPr>
          <w:sz w:val="22"/>
          <w:szCs w:val="22"/>
        </w:rPr>
        <w:t xml:space="preserve"> </w:t>
      </w:r>
      <w:r w:rsidR="006C6369" w:rsidRPr="006C6369">
        <w:rPr>
          <w:b/>
          <w:bCs/>
          <w:sz w:val="22"/>
          <w:szCs w:val="22"/>
        </w:rPr>
        <w:t>Systemically Important Financial Utility (SIFU)</w:t>
      </w:r>
      <w:r w:rsidR="00C84D58">
        <w:rPr>
          <w:sz w:val="22"/>
          <w:szCs w:val="22"/>
        </w:rPr>
        <w:t xml:space="preserve">, </w:t>
      </w:r>
      <w:r w:rsidR="006C6369" w:rsidRPr="006C6369">
        <w:rPr>
          <w:sz w:val="22"/>
          <w:szCs w:val="22"/>
        </w:rPr>
        <w:t xml:space="preserve">more formally known as a </w:t>
      </w:r>
      <w:r w:rsidR="006C6369" w:rsidRPr="006C6369">
        <w:rPr>
          <w:b/>
          <w:bCs/>
          <w:sz w:val="22"/>
          <w:szCs w:val="22"/>
        </w:rPr>
        <w:t>Systemically Important Financial Market Utility (SIFMU)</w:t>
      </w:r>
      <w:r>
        <w:rPr>
          <w:b/>
          <w:bCs/>
          <w:sz w:val="22"/>
          <w:szCs w:val="22"/>
        </w:rPr>
        <w:t>,</w:t>
      </w:r>
      <w:r w:rsidR="005D58F2">
        <w:rPr>
          <w:b/>
          <w:bCs/>
          <w:sz w:val="22"/>
          <w:szCs w:val="22"/>
        </w:rPr>
        <w:t xml:space="preserve"> </w:t>
      </w:r>
      <w:r w:rsidR="006C6369" w:rsidRPr="006C6369">
        <w:rPr>
          <w:sz w:val="22"/>
          <w:szCs w:val="22"/>
        </w:rPr>
        <w:t>is a designation given to a financial infrastructure entity that is so vital to the global or national economy that its failure or disruption could trigger a massive systemic crisis.</w:t>
      </w:r>
    </w:p>
    <w:p w14:paraId="19EE4951" w14:textId="4E6AD518" w:rsidR="006C6369" w:rsidRPr="006C6369" w:rsidRDefault="006C6369" w:rsidP="000540B0">
      <w:pPr>
        <w:spacing w:after="120" w:line="240" w:lineRule="auto"/>
        <w:rPr>
          <w:sz w:val="22"/>
          <w:szCs w:val="22"/>
        </w:rPr>
      </w:pPr>
      <w:r w:rsidRPr="006C6369">
        <w:rPr>
          <w:sz w:val="22"/>
          <w:szCs w:val="22"/>
        </w:rPr>
        <w:t>In essence, SIFU is the "plumbing" of the financial world. If the pipes burst, the entire building (the global economy) floods.</w:t>
      </w:r>
    </w:p>
    <w:p w14:paraId="643FE435" w14:textId="67F46B6C" w:rsidR="006C6369" w:rsidRPr="006C6369" w:rsidRDefault="006C6369" w:rsidP="006C6369">
      <w:pPr>
        <w:spacing w:before="120" w:after="120" w:line="240" w:lineRule="auto"/>
        <w:rPr>
          <w:b/>
          <w:bCs/>
        </w:rPr>
      </w:pPr>
      <w:r w:rsidRPr="006C6369">
        <w:rPr>
          <w:b/>
          <w:bCs/>
        </w:rPr>
        <w:t>Criteria for SIFU Designation</w:t>
      </w:r>
    </w:p>
    <w:p w14:paraId="0222A1F2" w14:textId="77777777" w:rsidR="006C6369" w:rsidRPr="006C6369" w:rsidRDefault="006C6369" w:rsidP="000540B0">
      <w:pPr>
        <w:spacing w:after="120" w:line="240" w:lineRule="auto"/>
        <w:rPr>
          <w:sz w:val="22"/>
          <w:szCs w:val="22"/>
        </w:rPr>
      </w:pPr>
      <w:r w:rsidRPr="006C6369">
        <w:rPr>
          <w:sz w:val="22"/>
          <w:szCs w:val="22"/>
        </w:rPr>
        <w:t xml:space="preserve">Under frameworks like the </w:t>
      </w:r>
      <w:r w:rsidRPr="006C6369">
        <w:rPr>
          <w:b/>
          <w:bCs/>
          <w:sz w:val="22"/>
          <w:szCs w:val="22"/>
        </w:rPr>
        <w:t>U.S. Dodd-Frank Act (Title VIII)</w:t>
      </w:r>
      <w:r w:rsidRPr="006C6369">
        <w:rPr>
          <w:sz w:val="22"/>
          <w:szCs w:val="22"/>
        </w:rPr>
        <w:t xml:space="preserve"> or international </w:t>
      </w:r>
      <w:r w:rsidRPr="006C6369">
        <w:rPr>
          <w:b/>
          <w:bCs/>
          <w:sz w:val="22"/>
          <w:szCs w:val="22"/>
        </w:rPr>
        <w:t>PFMI (Principles for Financial Market Infrastructure)</w:t>
      </w:r>
      <w:r w:rsidRPr="006C6369">
        <w:rPr>
          <w:sz w:val="22"/>
          <w:szCs w:val="22"/>
        </w:rPr>
        <w:t>, an entity is designated a SIFU based on:</w:t>
      </w:r>
    </w:p>
    <w:p w14:paraId="05AB687B" w14:textId="77777777" w:rsidR="006C6369" w:rsidRPr="006C6369" w:rsidRDefault="006C6369" w:rsidP="000540B0">
      <w:pPr>
        <w:numPr>
          <w:ilvl w:val="0"/>
          <w:numId w:val="29"/>
        </w:numPr>
        <w:spacing w:after="120" w:line="240" w:lineRule="auto"/>
        <w:rPr>
          <w:sz w:val="22"/>
          <w:szCs w:val="22"/>
        </w:rPr>
      </w:pPr>
      <w:r w:rsidRPr="006C6369">
        <w:rPr>
          <w:b/>
          <w:bCs/>
          <w:sz w:val="22"/>
          <w:szCs w:val="22"/>
        </w:rPr>
        <w:t>Aggregate Monetary Value:</w:t>
      </w:r>
      <w:r w:rsidRPr="006C6369">
        <w:rPr>
          <w:sz w:val="22"/>
          <w:szCs w:val="22"/>
        </w:rPr>
        <w:t xml:space="preserve"> The sheer volume and value of transactions processed (often trillions of dollars daily).</w:t>
      </w:r>
    </w:p>
    <w:p w14:paraId="1BD3E691" w14:textId="77777777" w:rsidR="006C6369" w:rsidRPr="006C6369" w:rsidRDefault="006C6369" w:rsidP="000540B0">
      <w:pPr>
        <w:numPr>
          <w:ilvl w:val="0"/>
          <w:numId w:val="29"/>
        </w:numPr>
        <w:spacing w:after="120" w:line="240" w:lineRule="auto"/>
        <w:rPr>
          <w:sz w:val="22"/>
          <w:szCs w:val="22"/>
        </w:rPr>
      </w:pPr>
      <w:r w:rsidRPr="006C6369">
        <w:rPr>
          <w:b/>
          <w:bCs/>
          <w:sz w:val="22"/>
          <w:szCs w:val="22"/>
        </w:rPr>
        <w:t>Interconnectedness:</w:t>
      </w:r>
      <w:r w:rsidRPr="006C6369">
        <w:rPr>
          <w:sz w:val="22"/>
          <w:szCs w:val="22"/>
        </w:rPr>
        <w:t xml:space="preserve"> The degree to which other financial institutions (banks, funds, central banks) rely on it for settlement.</w:t>
      </w:r>
    </w:p>
    <w:p w14:paraId="2B4115C5" w14:textId="41FC0036" w:rsidR="006C6369" w:rsidRPr="006C6369" w:rsidRDefault="006C6369" w:rsidP="000540B0">
      <w:pPr>
        <w:numPr>
          <w:ilvl w:val="0"/>
          <w:numId w:val="29"/>
        </w:numPr>
        <w:spacing w:after="120" w:line="240" w:lineRule="auto"/>
        <w:rPr>
          <w:sz w:val="22"/>
          <w:szCs w:val="22"/>
        </w:rPr>
      </w:pPr>
      <w:r w:rsidRPr="006C6369">
        <w:rPr>
          <w:b/>
          <w:bCs/>
          <w:sz w:val="22"/>
          <w:szCs w:val="22"/>
        </w:rPr>
        <w:t>Substitutability:</w:t>
      </w:r>
      <w:r w:rsidRPr="006C6369">
        <w:rPr>
          <w:sz w:val="22"/>
          <w:szCs w:val="22"/>
        </w:rPr>
        <w:t xml:space="preserve"> Whether </w:t>
      </w:r>
      <w:r w:rsidR="00C84D58">
        <w:rPr>
          <w:sz w:val="22"/>
          <w:szCs w:val="22"/>
        </w:rPr>
        <w:t>other entities can</w:t>
      </w:r>
      <w:r w:rsidRPr="006C6369">
        <w:rPr>
          <w:sz w:val="22"/>
          <w:szCs w:val="22"/>
        </w:rPr>
        <w:t xml:space="preserve"> perform the same function. If the entity is a "monopoly of infrastructure," it is almost certainly </w:t>
      </w:r>
      <w:r w:rsidR="00A974F5">
        <w:rPr>
          <w:sz w:val="22"/>
          <w:szCs w:val="22"/>
        </w:rPr>
        <w:t>an</w:t>
      </w:r>
      <w:r w:rsidRPr="006C6369">
        <w:rPr>
          <w:sz w:val="22"/>
          <w:szCs w:val="22"/>
        </w:rPr>
        <w:t xml:space="preserve"> SIFU.</w:t>
      </w:r>
    </w:p>
    <w:p w14:paraId="7AECEDA2" w14:textId="77777777" w:rsidR="006C6369" w:rsidRPr="006C6369" w:rsidRDefault="006C6369" w:rsidP="000540B0">
      <w:pPr>
        <w:numPr>
          <w:ilvl w:val="0"/>
          <w:numId w:val="29"/>
        </w:numPr>
        <w:spacing w:after="120" w:line="240" w:lineRule="auto"/>
        <w:rPr>
          <w:sz w:val="22"/>
          <w:szCs w:val="22"/>
        </w:rPr>
      </w:pPr>
      <w:r w:rsidRPr="006C6369">
        <w:rPr>
          <w:b/>
          <w:bCs/>
          <w:sz w:val="22"/>
          <w:szCs w:val="22"/>
        </w:rPr>
        <w:lastRenderedPageBreak/>
        <w:t>Impact of Failure:</w:t>
      </w:r>
      <w:r w:rsidRPr="006C6369">
        <w:rPr>
          <w:sz w:val="22"/>
          <w:szCs w:val="22"/>
        </w:rPr>
        <w:t xml:space="preserve"> The potential "knock-on" or "contagion" effect if the entity were to go offline for even a few hours.</w:t>
      </w:r>
    </w:p>
    <w:p w14:paraId="6E6557D9" w14:textId="09E50D0B" w:rsidR="006C6369" w:rsidRPr="006C6369" w:rsidRDefault="006C6369" w:rsidP="006C6369">
      <w:pPr>
        <w:spacing w:before="120" w:after="120" w:line="240" w:lineRule="auto"/>
        <w:rPr>
          <w:b/>
          <w:bCs/>
        </w:rPr>
      </w:pPr>
      <w:r w:rsidRPr="006C6369">
        <w:rPr>
          <w:b/>
          <w:bCs/>
        </w:rPr>
        <w:t>Common Types of SIFUs</w:t>
      </w:r>
    </w:p>
    <w:p w14:paraId="40E808F5" w14:textId="77777777" w:rsidR="006C6369" w:rsidRPr="006C6369" w:rsidRDefault="006C6369" w:rsidP="000540B0">
      <w:pPr>
        <w:spacing w:after="120" w:line="240" w:lineRule="auto"/>
        <w:rPr>
          <w:sz w:val="22"/>
          <w:szCs w:val="22"/>
        </w:rPr>
      </w:pPr>
      <w:r w:rsidRPr="006C6369">
        <w:rPr>
          <w:sz w:val="22"/>
          <w:szCs w:val="22"/>
        </w:rPr>
        <w:t>Most SIFUs fall into three categories of "Financial Market Utilities" (FMUs):</w:t>
      </w:r>
    </w:p>
    <w:p w14:paraId="20AC72DA" w14:textId="77777777" w:rsidR="006C6369" w:rsidRPr="006C6369" w:rsidRDefault="006C6369" w:rsidP="000540B0">
      <w:pPr>
        <w:numPr>
          <w:ilvl w:val="0"/>
          <w:numId w:val="30"/>
        </w:numPr>
        <w:spacing w:after="120" w:line="240" w:lineRule="auto"/>
        <w:rPr>
          <w:sz w:val="22"/>
          <w:szCs w:val="22"/>
        </w:rPr>
      </w:pPr>
      <w:r w:rsidRPr="006C6369">
        <w:rPr>
          <w:b/>
          <w:bCs/>
          <w:sz w:val="22"/>
          <w:szCs w:val="22"/>
        </w:rPr>
        <w:t>Payment Systems:</w:t>
      </w:r>
      <w:r w:rsidRPr="006C6369">
        <w:rPr>
          <w:sz w:val="22"/>
          <w:szCs w:val="22"/>
        </w:rPr>
        <w:t xml:space="preserve"> Systems that handle the actual movement of cash (e.g., </w:t>
      </w:r>
      <w:r w:rsidRPr="006C6369">
        <w:rPr>
          <w:b/>
          <w:bCs/>
          <w:sz w:val="22"/>
          <w:szCs w:val="22"/>
        </w:rPr>
        <w:t>The Clearing House</w:t>
      </w:r>
      <w:r w:rsidRPr="006C6369">
        <w:rPr>
          <w:sz w:val="22"/>
          <w:szCs w:val="22"/>
        </w:rPr>
        <w:t xml:space="preserve">, </w:t>
      </w:r>
      <w:r w:rsidRPr="006C6369">
        <w:rPr>
          <w:b/>
          <w:bCs/>
          <w:sz w:val="22"/>
          <w:szCs w:val="22"/>
        </w:rPr>
        <w:t>Fedwire</w:t>
      </w:r>
      <w:r w:rsidRPr="006C6369">
        <w:rPr>
          <w:sz w:val="22"/>
          <w:szCs w:val="22"/>
        </w:rPr>
        <w:t>).</w:t>
      </w:r>
    </w:p>
    <w:p w14:paraId="12BED27D" w14:textId="77777777" w:rsidR="006C6369" w:rsidRPr="006C6369" w:rsidRDefault="006C6369" w:rsidP="000540B0">
      <w:pPr>
        <w:numPr>
          <w:ilvl w:val="0"/>
          <w:numId w:val="30"/>
        </w:numPr>
        <w:spacing w:after="120" w:line="240" w:lineRule="auto"/>
        <w:rPr>
          <w:sz w:val="22"/>
          <w:szCs w:val="22"/>
        </w:rPr>
      </w:pPr>
      <w:r w:rsidRPr="006C6369">
        <w:rPr>
          <w:b/>
          <w:bCs/>
          <w:sz w:val="22"/>
          <w:szCs w:val="22"/>
        </w:rPr>
        <w:t>Clearinghouses (CCPs):</w:t>
      </w:r>
      <w:r w:rsidRPr="006C6369">
        <w:rPr>
          <w:sz w:val="22"/>
          <w:szCs w:val="22"/>
        </w:rPr>
        <w:t xml:space="preserve"> Entities that sit between buyers and sellers to guarantee a trade (e.g., </w:t>
      </w:r>
      <w:r w:rsidRPr="006C6369">
        <w:rPr>
          <w:b/>
          <w:bCs/>
          <w:sz w:val="22"/>
          <w:szCs w:val="22"/>
        </w:rPr>
        <w:t>The Options Clearing Corporation</w:t>
      </w:r>
      <w:r w:rsidRPr="006C6369">
        <w:rPr>
          <w:sz w:val="22"/>
          <w:szCs w:val="22"/>
        </w:rPr>
        <w:t xml:space="preserve">, </w:t>
      </w:r>
      <w:r w:rsidRPr="006C6369">
        <w:rPr>
          <w:b/>
          <w:bCs/>
          <w:sz w:val="22"/>
          <w:szCs w:val="22"/>
        </w:rPr>
        <w:t>ICE Clear Credit</w:t>
      </w:r>
      <w:r w:rsidRPr="006C6369">
        <w:rPr>
          <w:sz w:val="22"/>
          <w:szCs w:val="22"/>
        </w:rPr>
        <w:t>).</w:t>
      </w:r>
    </w:p>
    <w:p w14:paraId="3D9DCF37" w14:textId="77777777" w:rsidR="006C6369" w:rsidRPr="006C6369" w:rsidRDefault="006C6369" w:rsidP="000540B0">
      <w:pPr>
        <w:numPr>
          <w:ilvl w:val="0"/>
          <w:numId w:val="30"/>
        </w:numPr>
        <w:spacing w:after="120" w:line="240" w:lineRule="auto"/>
        <w:rPr>
          <w:sz w:val="22"/>
          <w:szCs w:val="22"/>
        </w:rPr>
      </w:pPr>
      <w:r w:rsidRPr="006C6369">
        <w:rPr>
          <w:b/>
          <w:bCs/>
          <w:sz w:val="22"/>
          <w:szCs w:val="22"/>
        </w:rPr>
        <w:t>Settlement &amp; Depository Systems:</w:t>
      </w:r>
      <w:r w:rsidRPr="006C6369">
        <w:rPr>
          <w:sz w:val="22"/>
          <w:szCs w:val="22"/>
        </w:rPr>
        <w:t xml:space="preserve"> The "Vaults" that record who owns what asset (e.g., </w:t>
      </w:r>
      <w:r w:rsidRPr="006C6369">
        <w:rPr>
          <w:b/>
          <w:bCs/>
          <w:sz w:val="22"/>
          <w:szCs w:val="22"/>
        </w:rPr>
        <w:t>DTCC</w:t>
      </w:r>
      <w:r w:rsidRPr="006C6369">
        <w:rPr>
          <w:sz w:val="22"/>
          <w:szCs w:val="22"/>
        </w:rPr>
        <w:t>).</w:t>
      </w:r>
    </w:p>
    <w:p w14:paraId="667E9185" w14:textId="5354E63C" w:rsidR="006C6369" w:rsidRPr="006C6369" w:rsidRDefault="006C6369" w:rsidP="006C6369">
      <w:pPr>
        <w:spacing w:before="120" w:after="120" w:line="240" w:lineRule="auto"/>
        <w:rPr>
          <w:b/>
          <w:bCs/>
        </w:rPr>
      </w:pPr>
      <w:r w:rsidRPr="006C6369">
        <w:rPr>
          <w:b/>
          <w:bCs/>
        </w:rPr>
        <w:t>"Burden and Benefit" of SIFU Status</w:t>
      </w:r>
    </w:p>
    <w:p w14:paraId="20A18C76" w14:textId="77777777" w:rsidR="006C6369" w:rsidRPr="006C6369" w:rsidRDefault="006C6369" w:rsidP="000540B0">
      <w:pPr>
        <w:spacing w:after="120" w:line="240" w:lineRule="auto"/>
        <w:rPr>
          <w:sz w:val="22"/>
          <w:szCs w:val="22"/>
        </w:rPr>
      </w:pPr>
      <w:r w:rsidRPr="006C6369">
        <w:rPr>
          <w:sz w:val="22"/>
          <w:szCs w:val="22"/>
        </w:rPr>
        <w:t>Being a SIFU is both a massive regulatory burden and a mark of extreme institutional trust.</w:t>
      </w:r>
    </w:p>
    <w:p w14:paraId="709648FB" w14:textId="7AB93DE3" w:rsidR="006C6369" w:rsidRPr="006C6369" w:rsidRDefault="006C6369" w:rsidP="006C6369">
      <w:pPr>
        <w:spacing w:before="120" w:after="120" w:line="240" w:lineRule="auto"/>
        <w:rPr>
          <w:b/>
          <w:bCs/>
          <w:sz w:val="22"/>
          <w:szCs w:val="22"/>
        </w:rPr>
      </w:pPr>
      <w:r w:rsidRPr="006C6369">
        <w:rPr>
          <w:b/>
          <w:bCs/>
          <w:sz w:val="22"/>
          <w:szCs w:val="22"/>
        </w:rPr>
        <w:t>Burdens (Regulatory Heightened Oversight):</w:t>
      </w:r>
    </w:p>
    <w:p w14:paraId="507AB547" w14:textId="77777777" w:rsidR="006C6369" w:rsidRPr="006C6369" w:rsidRDefault="006C6369" w:rsidP="000540B0">
      <w:pPr>
        <w:numPr>
          <w:ilvl w:val="0"/>
          <w:numId w:val="31"/>
        </w:numPr>
        <w:spacing w:after="120" w:line="240" w:lineRule="auto"/>
        <w:rPr>
          <w:sz w:val="22"/>
          <w:szCs w:val="22"/>
        </w:rPr>
      </w:pPr>
      <w:r w:rsidRPr="006C6369">
        <w:rPr>
          <w:b/>
          <w:bCs/>
          <w:sz w:val="22"/>
          <w:szCs w:val="22"/>
        </w:rPr>
        <w:t>Capital Requirements:</w:t>
      </w:r>
      <w:r w:rsidRPr="006C6369">
        <w:rPr>
          <w:sz w:val="22"/>
          <w:szCs w:val="22"/>
        </w:rPr>
        <w:t xml:space="preserve"> SIFUs must maintain massive liquidity buffers (GSCX's "Just-in-Time" capital model is designed to scale toward these requirements).</w:t>
      </w:r>
    </w:p>
    <w:p w14:paraId="0E893472" w14:textId="77777777" w:rsidR="006C6369" w:rsidRPr="006C6369" w:rsidRDefault="006C6369" w:rsidP="000540B0">
      <w:pPr>
        <w:numPr>
          <w:ilvl w:val="0"/>
          <w:numId w:val="31"/>
        </w:numPr>
        <w:spacing w:after="120" w:line="240" w:lineRule="auto"/>
        <w:rPr>
          <w:sz w:val="22"/>
          <w:szCs w:val="22"/>
        </w:rPr>
      </w:pPr>
      <w:r w:rsidRPr="006C6369">
        <w:rPr>
          <w:b/>
          <w:bCs/>
          <w:sz w:val="22"/>
          <w:szCs w:val="22"/>
        </w:rPr>
        <w:t>Operational Resilience:</w:t>
      </w:r>
      <w:r w:rsidRPr="006C6369">
        <w:rPr>
          <w:sz w:val="22"/>
          <w:szCs w:val="22"/>
        </w:rPr>
        <w:t xml:space="preserve"> As seen in your </w:t>
      </w:r>
      <w:r w:rsidRPr="006C6369">
        <w:rPr>
          <w:b/>
          <w:bCs/>
          <w:sz w:val="22"/>
          <w:szCs w:val="22"/>
        </w:rPr>
        <w:t>BMA 2025</w:t>
      </w:r>
      <w:r w:rsidRPr="006C6369">
        <w:rPr>
          <w:sz w:val="22"/>
          <w:szCs w:val="22"/>
        </w:rPr>
        <w:t xml:space="preserve"> planning, SIFUs are required to have </w:t>
      </w:r>
      <w:r w:rsidRPr="006C6369">
        <w:rPr>
          <w:b/>
          <w:bCs/>
          <w:sz w:val="22"/>
          <w:szCs w:val="22"/>
        </w:rPr>
        <w:t>Near-Zero RPO</w:t>
      </w:r>
      <w:r w:rsidRPr="006C6369">
        <w:rPr>
          <w:sz w:val="22"/>
          <w:szCs w:val="22"/>
        </w:rPr>
        <w:t xml:space="preserve"> and </w:t>
      </w:r>
      <w:r w:rsidRPr="006C6369">
        <w:rPr>
          <w:b/>
          <w:bCs/>
          <w:sz w:val="22"/>
          <w:szCs w:val="22"/>
        </w:rPr>
        <w:t>&lt;2-hour RTO</w:t>
      </w:r>
      <w:r w:rsidRPr="006C6369">
        <w:rPr>
          <w:sz w:val="22"/>
          <w:szCs w:val="22"/>
        </w:rPr>
        <w:t xml:space="preserve"> for critical services.</w:t>
      </w:r>
    </w:p>
    <w:p w14:paraId="40ADB01D" w14:textId="77777777" w:rsidR="006C6369" w:rsidRPr="006C6369" w:rsidRDefault="006C6369" w:rsidP="000540B0">
      <w:pPr>
        <w:numPr>
          <w:ilvl w:val="0"/>
          <w:numId w:val="31"/>
        </w:numPr>
        <w:spacing w:after="120" w:line="240" w:lineRule="auto"/>
        <w:rPr>
          <w:sz w:val="22"/>
          <w:szCs w:val="22"/>
        </w:rPr>
      </w:pPr>
      <w:r w:rsidRPr="006C6369">
        <w:rPr>
          <w:b/>
          <w:bCs/>
          <w:sz w:val="22"/>
          <w:szCs w:val="22"/>
        </w:rPr>
        <w:t>Direct Supervision:</w:t>
      </w:r>
      <w:r w:rsidRPr="006C6369">
        <w:rPr>
          <w:sz w:val="22"/>
          <w:szCs w:val="22"/>
        </w:rPr>
        <w:t xml:space="preserve"> SIFUs are often supervised directly by a Central Bank (like the Federal Reserve) or a top-tier regulator (like the BMA or FSRA).</w:t>
      </w:r>
    </w:p>
    <w:p w14:paraId="624A12F0" w14:textId="013B0C59" w:rsidR="006C6369" w:rsidRPr="006C6369" w:rsidRDefault="003731ED" w:rsidP="006C6369">
      <w:pPr>
        <w:spacing w:before="120" w:after="120" w:line="240" w:lineRule="auto"/>
        <w:rPr>
          <w:b/>
          <w:bCs/>
          <w:sz w:val="22"/>
          <w:szCs w:val="22"/>
        </w:rPr>
      </w:pPr>
      <w:r>
        <w:rPr>
          <w:b/>
          <w:bCs/>
          <w:sz w:val="22"/>
          <w:szCs w:val="22"/>
        </w:rPr>
        <w:t>B</w:t>
      </w:r>
      <w:r w:rsidR="006C6369" w:rsidRPr="006C6369">
        <w:rPr>
          <w:b/>
          <w:bCs/>
          <w:sz w:val="22"/>
          <w:szCs w:val="22"/>
        </w:rPr>
        <w:t>enefits (The "Moat"):</w:t>
      </w:r>
    </w:p>
    <w:p w14:paraId="4EC56930" w14:textId="77777777" w:rsidR="006C6369" w:rsidRPr="006C6369" w:rsidRDefault="006C6369" w:rsidP="000540B0">
      <w:pPr>
        <w:numPr>
          <w:ilvl w:val="0"/>
          <w:numId w:val="32"/>
        </w:numPr>
        <w:spacing w:after="120" w:line="240" w:lineRule="auto"/>
        <w:rPr>
          <w:sz w:val="22"/>
          <w:szCs w:val="22"/>
        </w:rPr>
      </w:pPr>
      <w:r w:rsidRPr="006C6369">
        <w:rPr>
          <w:b/>
          <w:bCs/>
          <w:sz w:val="22"/>
          <w:szCs w:val="22"/>
        </w:rPr>
        <w:t>Implicit Guarantee:</w:t>
      </w:r>
      <w:r w:rsidRPr="006C6369">
        <w:rPr>
          <w:sz w:val="22"/>
          <w:szCs w:val="22"/>
        </w:rPr>
        <w:t xml:space="preserve"> Because they are "Too Big to Fail," SIFUs often have access to central bank liquidity (the "Discount Window") during a crisis.</w:t>
      </w:r>
    </w:p>
    <w:p w14:paraId="066134C7" w14:textId="77777777" w:rsidR="006C6369" w:rsidRPr="006C6369" w:rsidRDefault="006C6369" w:rsidP="000540B0">
      <w:pPr>
        <w:numPr>
          <w:ilvl w:val="0"/>
          <w:numId w:val="32"/>
        </w:numPr>
        <w:spacing w:after="120" w:line="240" w:lineRule="auto"/>
        <w:rPr>
          <w:sz w:val="22"/>
          <w:szCs w:val="22"/>
        </w:rPr>
      </w:pPr>
      <w:r w:rsidRPr="006C6369">
        <w:rPr>
          <w:b/>
          <w:bCs/>
          <w:sz w:val="22"/>
          <w:szCs w:val="22"/>
        </w:rPr>
        <w:t>Institutional Trust:</w:t>
      </w:r>
      <w:r w:rsidRPr="006C6369">
        <w:rPr>
          <w:sz w:val="22"/>
          <w:szCs w:val="22"/>
        </w:rPr>
        <w:t xml:space="preserve"> Tier 1 participants (Sovereign Wealth Funds, Global Banks) will generally </w:t>
      </w:r>
      <w:r w:rsidRPr="006C6369">
        <w:rPr>
          <w:i/>
          <w:iCs/>
          <w:sz w:val="22"/>
          <w:szCs w:val="22"/>
        </w:rPr>
        <w:t>only</w:t>
      </w:r>
      <w:r w:rsidRPr="006C6369">
        <w:rPr>
          <w:sz w:val="22"/>
          <w:szCs w:val="22"/>
        </w:rPr>
        <w:t xml:space="preserve"> trade on a SIFU-grade utility because of the lower counterparty risk.</w:t>
      </w:r>
    </w:p>
    <w:p w14:paraId="5941B10F" w14:textId="42122C7A" w:rsidR="006C6369" w:rsidRPr="006C6369" w:rsidRDefault="006C6369" w:rsidP="006C6369">
      <w:pPr>
        <w:spacing w:before="120" w:after="120" w:line="240" w:lineRule="auto"/>
        <w:rPr>
          <w:b/>
          <w:bCs/>
        </w:rPr>
      </w:pPr>
      <w:r w:rsidRPr="006C6369">
        <w:rPr>
          <w:b/>
          <w:bCs/>
        </w:rPr>
        <w:t xml:space="preserve">GSCX as </w:t>
      </w:r>
      <w:proofErr w:type="gramStart"/>
      <w:r w:rsidR="00A974F5">
        <w:rPr>
          <w:b/>
          <w:bCs/>
        </w:rPr>
        <w:t>an</w:t>
      </w:r>
      <w:proofErr w:type="gramEnd"/>
      <w:r w:rsidRPr="006C6369">
        <w:rPr>
          <w:b/>
          <w:bCs/>
        </w:rPr>
        <w:t xml:space="preserve"> SIFU</w:t>
      </w:r>
    </w:p>
    <w:p w14:paraId="48327127" w14:textId="77777777" w:rsidR="006C6369" w:rsidRPr="006C6369" w:rsidRDefault="006C6369" w:rsidP="000540B0">
      <w:pPr>
        <w:spacing w:after="120" w:line="240" w:lineRule="auto"/>
        <w:rPr>
          <w:sz w:val="22"/>
          <w:szCs w:val="22"/>
        </w:rPr>
      </w:pPr>
      <w:r w:rsidRPr="006C6369">
        <w:rPr>
          <w:sz w:val="22"/>
          <w:szCs w:val="22"/>
        </w:rPr>
        <w:t xml:space="preserve">The GSCX narrative specifically aims for </w:t>
      </w:r>
      <w:r w:rsidRPr="006C6369">
        <w:rPr>
          <w:b/>
          <w:bCs/>
          <w:sz w:val="22"/>
          <w:szCs w:val="22"/>
        </w:rPr>
        <w:t>Systemically Important Financial Utility</w:t>
      </w:r>
      <w:r w:rsidRPr="006C6369">
        <w:rPr>
          <w:sz w:val="22"/>
          <w:szCs w:val="22"/>
        </w:rPr>
        <w:t xml:space="preserve"> status by:</w:t>
      </w:r>
    </w:p>
    <w:p w14:paraId="522BC3CD" w14:textId="77777777" w:rsidR="006C6369" w:rsidRPr="006C6369" w:rsidRDefault="006C6369" w:rsidP="000540B0">
      <w:pPr>
        <w:numPr>
          <w:ilvl w:val="0"/>
          <w:numId w:val="33"/>
        </w:numPr>
        <w:spacing w:after="120" w:line="240" w:lineRule="auto"/>
        <w:rPr>
          <w:sz w:val="22"/>
          <w:szCs w:val="22"/>
        </w:rPr>
      </w:pPr>
      <w:r w:rsidRPr="006C6369">
        <w:rPr>
          <w:b/>
          <w:bCs/>
          <w:sz w:val="22"/>
          <w:szCs w:val="22"/>
        </w:rPr>
        <w:t>The Sovereign Shield:</w:t>
      </w:r>
      <w:r w:rsidRPr="006C6369">
        <w:rPr>
          <w:sz w:val="22"/>
          <w:szCs w:val="22"/>
        </w:rPr>
        <w:t xml:space="preserve"> Using </w:t>
      </w:r>
      <w:r w:rsidRPr="006C6369">
        <w:rPr>
          <w:b/>
          <w:bCs/>
          <w:sz w:val="22"/>
          <w:szCs w:val="22"/>
        </w:rPr>
        <w:t>IBM LinuxONE</w:t>
      </w:r>
      <w:r w:rsidRPr="006C6369">
        <w:rPr>
          <w:sz w:val="22"/>
          <w:szCs w:val="22"/>
        </w:rPr>
        <w:t xml:space="preserve"> and </w:t>
      </w:r>
      <w:r w:rsidRPr="006C6369">
        <w:rPr>
          <w:b/>
          <w:bCs/>
          <w:sz w:val="22"/>
          <w:szCs w:val="22"/>
        </w:rPr>
        <w:t>EAL5+</w:t>
      </w:r>
      <w:r w:rsidRPr="006C6369">
        <w:rPr>
          <w:sz w:val="22"/>
          <w:szCs w:val="22"/>
        </w:rPr>
        <w:t xml:space="preserve"> to provide security that meets Central Bank standards.</w:t>
      </w:r>
    </w:p>
    <w:p w14:paraId="7403791E" w14:textId="057D0BCE" w:rsidR="006C6369" w:rsidRPr="006C6369" w:rsidRDefault="006C6369" w:rsidP="000540B0">
      <w:pPr>
        <w:numPr>
          <w:ilvl w:val="0"/>
          <w:numId w:val="33"/>
        </w:numPr>
        <w:spacing w:after="120" w:line="240" w:lineRule="auto"/>
        <w:rPr>
          <w:sz w:val="22"/>
          <w:szCs w:val="22"/>
        </w:rPr>
      </w:pPr>
      <w:r w:rsidRPr="006C6369">
        <w:rPr>
          <w:b/>
          <w:bCs/>
          <w:sz w:val="22"/>
          <w:szCs w:val="22"/>
        </w:rPr>
        <w:t>The BMA-ADGM Bridge:</w:t>
      </w:r>
      <w:r w:rsidRPr="006C6369">
        <w:rPr>
          <w:sz w:val="22"/>
          <w:szCs w:val="22"/>
        </w:rPr>
        <w:t xml:space="preserve"> Creating a cross-border settlement corridor that is immune to the </w:t>
      </w:r>
      <w:r w:rsidRPr="006C6369">
        <w:rPr>
          <w:b/>
          <w:bCs/>
          <w:sz w:val="22"/>
          <w:szCs w:val="22"/>
        </w:rPr>
        <w:t>U.S. C</w:t>
      </w:r>
      <w:r w:rsidR="000540B0">
        <w:rPr>
          <w:b/>
          <w:bCs/>
          <w:sz w:val="22"/>
          <w:szCs w:val="22"/>
        </w:rPr>
        <w:t>loud</w:t>
      </w:r>
      <w:r w:rsidRPr="006C6369">
        <w:rPr>
          <w:b/>
          <w:bCs/>
          <w:sz w:val="22"/>
          <w:szCs w:val="22"/>
        </w:rPr>
        <w:t xml:space="preserve"> Act</w:t>
      </w:r>
      <w:r w:rsidRPr="006C6369">
        <w:rPr>
          <w:sz w:val="22"/>
          <w:szCs w:val="22"/>
        </w:rPr>
        <w:t>, making it a "vital utility" for non-US sovereign trade.</w:t>
      </w:r>
    </w:p>
    <w:p w14:paraId="444A7872" w14:textId="77777777" w:rsidR="006C6369" w:rsidRDefault="006C6369" w:rsidP="000540B0">
      <w:pPr>
        <w:numPr>
          <w:ilvl w:val="0"/>
          <w:numId w:val="33"/>
        </w:numPr>
        <w:spacing w:after="120" w:line="240" w:lineRule="auto"/>
        <w:rPr>
          <w:sz w:val="22"/>
          <w:szCs w:val="22"/>
        </w:rPr>
      </w:pPr>
      <w:r w:rsidRPr="006C6369">
        <w:rPr>
          <w:b/>
          <w:bCs/>
          <w:sz w:val="22"/>
          <w:szCs w:val="22"/>
        </w:rPr>
        <w:t>Tri-Node Resilience:</w:t>
      </w:r>
      <w:r w:rsidRPr="006C6369">
        <w:rPr>
          <w:sz w:val="22"/>
          <w:szCs w:val="22"/>
        </w:rPr>
        <w:t xml:space="preserve"> The </w:t>
      </w:r>
      <w:r w:rsidRPr="006C6369">
        <w:rPr>
          <w:b/>
          <w:bCs/>
          <w:sz w:val="22"/>
          <w:szCs w:val="22"/>
        </w:rPr>
        <w:t>Bermuda-USA-Swiss</w:t>
      </w:r>
      <w:r w:rsidRPr="006C6369">
        <w:rPr>
          <w:sz w:val="22"/>
          <w:szCs w:val="22"/>
        </w:rPr>
        <w:t xml:space="preserve"> architecture is designed to meet the </w:t>
      </w:r>
      <w:r w:rsidRPr="006C6369">
        <w:rPr>
          <w:b/>
          <w:bCs/>
          <w:sz w:val="22"/>
          <w:szCs w:val="22"/>
        </w:rPr>
        <w:t>MTPD (24-hour)</w:t>
      </w:r>
      <w:r w:rsidRPr="006C6369">
        <w:rPr>
          <w:sz w:val="22"/>
          <w:szCs w:val="22"/>
        </w:rPr>
        <w:t xml:space="preserve"> and </w:t>
      </w:r>
      <w:r w:rsidRPr="006C6369">
        <w:rPr>
          <w:b/>
          <w:bCs/>
          <w:sz w:val="22"/>
          <w:szCs w:val="22"/>
        </w:rPr>
        <w:t>RTO</w:t>
      </w:r>
      <w:r w:rsidRPr="006C6369">
        <w:rPr>
          <w:sz w:val="22"/>
          <w:szCs w:val="22"/>
        </w:rPr>
        <w:t xml:space="preserve"> benchmarks required of a global SIFU.</w:t>
      </w:r>
    </w:p>
    <w:p w14:paraId="77FB93B0" w14:textId="77777777" w:rsidR="006C6369" w:rsidRPr="006C6369" w:rsidRDefault="006C6369" w:rsidP="006C6369">
      <w:pPr>
        <w:spacing w:before="120" w:after="120" w:line="240" w:lineRule="auto"/>
        <w:rPr>
          <w:b/>
          <w:bCs/>
          <w:sz w:val="22"/>
          <w:szCs w:val="22"/>
        </w:rPr>
      </w:pPr>
      <w:r w:rsidRPr="006C6369">
        <w:rPr>
          <w:b/>
          <w:bCs/>
          <w:sz w:val="22"/>
          <w:szCs w:val="22"/>
        </w:rPr>
        <w:t>Summary Table: SIFU vs. Standard Platform</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05"/>
        <w:gridCol w:w="3232"/>
        <w:gridCol w:w="3975"/>
      </w:tblGrid>
      <w:tr w:rsidR="006C6369" w:rsidRPr="006C6369" w14:paraId="3504892B" w14:textId="77777777" w:rsidTr="000540B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95DC4D2" w14:textId="77777777" w:rsidR="006C6369" w:rsidRPr="006C6369" w:rsidRDefault="006C6369" w:rsidP="00C84D58">
            <w:pPr>
              <w:spacing w:before="120" w:after="120" w:line="240" w:lineRule="auto"/>
              <w:ind w:left="110"/>
              <w:rPr>
                <w:sz w:val="22"/>
                <w:szCs w:val="22"/>
              </w:rPr>
            </w:pPr>
            <w:r w:rsidRPr="006C6369">
              <w:rPr>
                <w:b/>
                <w:bCs/>
                <w:sz w:val="22"/>
                <w:szCs w:val="22"/>
              </w:rPr>
              <w:t>Feature</w:t>
            </w:r>
          </w:p>
        </w:tc>
        <w:tc>
          <w:tcPr>
            <w:tcW w:w="0" w:type="auto"/>
            <w:tcBorders>
              <w:top w:val="single" w:sz="6" w:space="0" w:color="auto"/>
              <w:left w:val="single" w:sz="6" w:space="0" w:color="auto"/>
              <w:bottom w:val="single" w:sz="6" w:space="0" w:color="auto"/>
              <w:right w:val="single" w:sz="6" w:space="0" w:color="auto"/>
            </w:tcBorders>
            <w:vAlign w:val="center"/>
            <w:hideMark/>
          </w:tcPr>
          <w:p w14:paraId="6D5465C2" w14:textId="77777777" w:rsidR="006C6369" w:rsidRPr="006C6369" w:rsidRDefault="006C6369" w:rsidP="00C84D58">
            <w:pPr>
              <w:spacing w:before="120" w:after="120" w:line="240" w:lineRule="auto"/>
              <w:ind w:left="110"/>
              <w:rPr>
                <w:sz w:val="22"/>
                <w:szCs w:val="22"/>
              </w:rPr>
            </w:pPr>
            <w:r w:rsidRPr="006C6369">
              <w:rPr>
                <w:b/>
                <w:bCs/>
                <w:sz w:val="22"/>
                <w:szCs w:val="22"/>
              </w:rPr>
              <w:t>Standard Trading Platform</w:t>
            </w:r>
          </w:p>
        </w:tc>
        <w:tc>
          <w:tcPr>
            <w:tcW w:w="3930" w:type="dxa"/>
            <w:tcBorders>
              <w:top w:val="single" w:sz="6" w:space="0" w:color="auto"/>
              <w:left w:val="single" w:sz="6" w:space="0" w:color="auto"/>
              <w:bottom w:val="single" w:sz="6" w:space="0" w:color="auto"/>
              <w:right w:val="single" w:sz="6" w:space="0" w:color="auto"/>
            </w:tcBorders>
            <w:vAlign w:val="center"/>
            <w:hideMark/>
          </w:tcPr>
          <w:p w14:paraId="59D0A987" w14:textId="77777777" w:rsidR="006C6369" w:rsidRPr="006C6369" w:rsidRDefault="006C6369" w:rsidP="00C84D58">
            <w:pPr>
              <w:spacing w:before="120" w:after="120" w:line="240" w:lineRule="auto"/>
              <w:ind w:left="110"/>
              <w:rPr>
                <w:sz w:val="22"/>
                <w:szCs w:val="22"/>
              </w:rPr>
            </w:pPr>
            <w:r w:rsidRPr="006C6369">
              <w:rPr>
                <w:b/>
                <w:bCs/>
                <w:sz w:val="22"/>
                <w:szCs w:val="22"/>
              </w:rPr>
              <w:t>Systemically Important Utility (SIFU)</w:t>
            </w:r>
          </w:p>
        </w:tc>
      </w:tr>
      <w:tr w:rsidR="006C6369" w:rsidRPr="006C6369" w14:paraId="5B715D7B" w14:textId="77777777" w:rsidTr="000540B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A0F0A65" w14:textId="77777777" w:rsidR="006C6369" w:rsidRPr="006C6369" w:rsidRDefault="006C6369" w:rsidP="00C84D58">
            <w:pPr>
              <w:spacing w:before="120" w:after="120" w:line="240" w:lineRule="auto"/>
              <w:ind w:left="110"/>
              <w:rPr>
                <w:sz w:val="22"/>
                <w:szCs w:val="22"/>
              </w:rPr>
            </w:pPr>
            <w:r w:rsidRPr="006C6369">
              <w:rPr>
                <w:b/>
                <w:bCs/>
                <w:sz w:val="22"/>
                <w:szCs w:val="22"/>
              </w:rPr>
              <w:t>Risk Profile</w:t>
            </w:r>
          </w:p>
        </w:tc>
        <w:tc>
          <w:tcPr>
            <w:tcW w:w="0" w:type="auto"/>
            <w:tcBorders>
              <w:top w:val="single" w:sz="6" w:space="0" w:color="auto"/>
              <w:left w:val="single" w:sz="6" w:space="0" w:color="auto"/>
              <w:bottom w:val="single" w:sz="6" w:space="0" w:color="auto"/>
              <w:right w:val="single" w:sz="6" w:space="0" w:color="auto"/>
            </w:tcBorders>
            <w:vAlign w:val="center"/>
            <w:hideMark/>
          </w:tcPr>
          <w:p w14:paraId="7E0E7B03" w14:textId="77777777" w:rsidR="006C6369" w:rsidRPr="006C6369" w:rsidRDefault="006C6369" w:rsidP="00C84D58">
            <w:pPr>
              <w:spacing w:before="120" w:after="120" w:line="240" w:lineRule="auto"/>
              <w:ind w:left="110"/>
              <w:rPr>
                <w:sz w:val="22"/>
                <w:szCs w:val="22"/>
              </w:rPr>
            </w:pPr>
            <w:r w:rsidRPr="006C6369">
              <w:rPr>
                <w:sz w:val="22"/>
                <w:szCs w:val="22"/>
              </w:rPr>
              <w:t>Manageable / Commercial</w:t>
            </w:r>
          </w:p>
        </w:tc>
        <w:tc>
          <w:tcPr>
            <w:tcW w:w="3930" w:type="dxa"/>
            <w:tcBorders>
              <w:top w:val="single" w:sz="6" w:space="0" w:color="auto"/>
              <w:left w:val="single" w:sz="6" w:space="0" w:color="auto"/>
              <w:bottom w:val="single" w:sz="6" w:space="0" w:color="auto"/>
              <w:right w:val="single" w:sz="6" w:space="0" w:color="auto"/>
            </w:tcBorders>
            <w:vAlign w:val="center"/>
            <w:hideMark/>
          </w:tcPr>
          <w:p w14:paraId="0C921662" w14:textId="29399D79" w:rsidR="006C6369" w:rsidRPr="006C6369" w:rsidRDefault="006C6369" w:rsidP="00C84D58">
            <w:pPr>
              <w:spacing w:before="120" w:after="120" w:line="240" w:lineRule="auto"/>
              <w:ind w:left="110"/>
              <w:rPr>
                <w:sz w:val="22"/>
                <w:szCs w:val="22"/>
              </w:rPr>
            </w:pPr>
            <w:r w:rsidRPr="006C6369">
              <w:rPr>
                <w:b/>
                <w:bCs/>
                <w:sz w:val="22"/>
                <w:szCs w:val="22"/>
              </w:rPr>
              <w:t>Systemic/Existential</w:t>
            </w:r>
          </w:p>
        </w:tc>
      </w:tr>
      <w:tr w:rsidR="006C6369" w:rsidRPr="006C6369" w14:paraId="344B3A51" w14:textId="77777777" w:rsidTr="000540B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71C1426" w14:textId="77777777" w:rsidR="006C6369" w:rsidRPr="006C6369" w:rsidRDefault="006C6369" w:rsidP="00C84D58">
            <w:pPr>
              <w:spacing w:before="120" w:after="120" w:line="240" w:lineRule="auto"/>
              <w:ind w:left="110"/>
              <w:rPr>
                <w:sz w:val="22"/>
                <w:szCs w:val="22"/>
              </w:rPr>
            </w:pPr>
            <w:r w:rsidRPr="006C6369">
              <w:rPr>
                <w:b/>
                <w:bCs/>
                <w:sz w:val="22"/>
                <w:szCs w:val="22"/>
              </w:rPr>
              <w:lastRenderedPageBreak/>
              <w:t>Regulation</w:t>
            </w:r>
          </w:p>
        </w:tc>
        <w:tc>
          <w:tcPr>
            <w:tcW w:w="0" w:type="auto"/>
            <w:tcBorders>
              <w:top w:val="single" w:sz="6" w:space="0" w:color="auto"/>
              <w:left w:val="single" w:sz="6" w:space="0" w:color="auto"/>
              <w:bottom w:val="single" w:sz="6" w:space="0" w:color="auto"/>
              <w:right w:val="single" w:sz="6" w:space="0" w:color="auto"/>
            </w:tcBorders>
            <w:vAlign w:val="center"/>
            <w:hideMark/>
          </w:tcPr>
          <w:p w14:paraId="7B3DAED2" w14:textId="77777777" w:rsidR="006C6369" w:rsidRPr="006C6369" w:rsidRDefault="006C6369" w:rsidP="00C84D58">
            <w:pPr>
              <w:spacing w:before="120" w:after="120" w:line="240" w:lineRule="auto"/>
              <w:ind w:left="110"/>
              <w:rPr>
                <w:sz w:val="22"/>
                <w:szCs w:val="22"/>
              </w:rPr>
            </w:pPr>
            <w:r w:rsidRPr="006C6369">
              <w:rPr>
                <w:sz w:val="22"/>
                <w:szCs w:val="22"/>
              </w:rPr>
              <w:t>Standard License (DAB Class M)</w:t>
            </w:r>
          </w:p>
        </w:tc>
        <w:tc>
          <w:tcPr>
            <w:tcW w:w="3930" w:type="dxa"/>
            <w:tcBorders>
              <w:top w:val="single" w:sz="6" w:space="0" w:color="auto"/>
              <w:left w:val="single" w:sz="6" w:space="0" w:color="auto"/>
              <w:bottom w:val="single" w:sz="6" w:space="0" w:color="auto"/>
              <w:right w:val="single" w:sz="6" w:space="0" w:color="auto"/>
            </w:tcBorders>
            <w:vAlign w:val="center"/>
            <w:hideMark/>
          </w:tcPr>
          <w:p w14:paraId="0868B743" w14:textId="77777777" w:rsidR="006C6369" w:rsidRPr="006C6369" w:rsidRDefault="006C6369" w:rsidP="00C84D58">
            <w:pPr>
              <w:spacing w:before="120" w:after="120" w:line="240" w:lineRule="auto"/>
              <w:ind w:left="110"/>
              <w:rPr>
                <w:sz w:val="22"/>
                <w:szCs w:val="22"/>
              </w:rPr>
            </w:pPr>
            <w:r w:rsidRPr="006C6369">
              <w:rPr>
                <w:b/>
                <w:bCs/>
                <w:sz w:val="22"/>
                <w:szCs w:val="22"/>
              </w:rPr>
              <w:t>Heightened (Class F / Full FSP)</w:t>
            </w:r>
          </w:p>
        </w:tc>
      </w:tr>
      <w:tr w:rsidR="006C6369" w:rsidRPr="006C6369" w14:paraId="34CA9BB5" w14:textId="77777777" w:rsidTr="000540B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508F903" w14:textId="77777777" w:rsidR="006C6369" w:rsidRPr="006C6369" w:rsidRDefault="006C6369" w:rsidP="00C84D58">
            <w:pPr>
              <w:spacing w:before="120" w:after="120" w:line="240" w:lineRule="auto"/>
              <w:ind w:left="110"/>
              <w:rPr>
                <w:sz w:val="22"/>
                <w:szCs w:val="22"/>
              </w:rPr>
            </w:pPr>
            <w:r w:rsidRPr="006C6369">
              <w:rPr>
                <w:b/>
                <w:bCs/>
                <w:sz w:val="22"/>
                <w:szCs w:val="22"/>
              </w:rPr>
              <w:t>Infrastructure</w:t>
            </w:r>
          </w:p>
        </w:tc>
        <w:tc>
          <w:tcPr>
            <w:tcW w:w="0" w:type="auto"/>
            <w:tcBorders>
              <w:top w:val="single" w:sz="6" w:space="0" w:color="auto"/>
              <w:left w:val="single" w:sz="6" w:space="0" w:color="auto"/>
              <w:bottom w:val="single" w:sz="6" w:space="0" w:color="auto"/>
              <w:right w:val="single" w:sz="6" w:space="0" w:color="auto"/>
            </w:tcBorders>
            <w:vAlign w:val="center"/>
            <w:hideMark/>
          </w:tcPr>
          <w:p w14:paraId="0445BBCA" w14:textId="77777777" w:rsidR="006C6369" w:rsidRPr="006C6369" w:rsidRDefault="006C6369" w:rsidP="00C84D58">
            <w:pPr>
              <w:spacing w:before="120" w:after="120" w:line="240" w:lineRule="auto"/>
              <w:ind w:left="110"/>
              <w:rPr>
                <w:sz w:val="22"/>
                <w:szCs w:val="22"/>
              </w:rPr>
            </w:pPr>
            <w:r w:rsidRPr="006C6369">
              <w:rPr>
                <w:sz w:val="22"/>
                <w:szCs w:val="22"/>
              </w:rPr>
              <w:t>Standard Cloud (x86)</w:t>
            </w:r>
          </w:p>
        </w:tc>
        <w:tc>
          <w:tcPr>
            <w:tcW w:w="3930" w:type="dxa"/>
            <w:tcBorders>
              <w:top w:val="single" w:sz="6" w:space="0" w:color="auto"/>
              <w:left w:val="single" w:sz="6" w:space="0" w:color="auto"/>
              <w:bottom w:val="single" w:sz="6" w:space="0" w:color="auto"/>
              <w:right w:val="single" w:sz="6" w:space="0" w:color="auto"/>
            </w:tcBorders>
            <w:vAlign w:val="center"/>
            <w:hideMark/>
          </w:tcPr>
          <w:p w14:paraId="0241E3BE" w14:textId="77777777" w:rsidR="006C6369" w:rsidRPr="006C6369" w:rsidRDefault="006C6369" w:rsidP="00C84D58">
            <w:pPr>
              <w:spacing w:before="120" w:after="120" w:line="240" w:lineRule="auto"/>
              <w:ind w:left="110"/>
              <w:rPr>
                <w:sz w:val="22"/>
                <w:szCs w:val="22"/>
              </w:rPr>
            </w:pPr>
            <w:r w:rsidRPr="006C6369">
              <w:rPr>
                <w:b/>
                <w:bCs/>
                <w:sz w:val="22"/>
                <w:szCs w:val="22"/>
              </w:rPr>
              <w:t>Mainframe (LinuxONE / EAL5+)</w:t>
            </w:r>
          </w:p>
        </w:tc>
      </w:tr>
      <w:tr w:rsidR="006C6369" w:rsidRPr="006C6369" w14:paraId="7EA5C841" w14:textId="77777777" w:rsidTr="000540B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BC4449F" w14:textId="77777777" w:rsidR="006C6369" w:rsidRPr="006C6369" w:rsidRDefault="006C6369" w:rsidP="00C84D58">
            <w:pPr>
              <w:spacing w:before="120" w:after="120" w:line="240" w:lineRule="auto"/>
              <w:ind w:left="110"/>
              <w:rPr>
                <w:sz w:val="22"/>
                <w:szCs w:val="22"/>
              </w:rPr>
            </w:pPr>
            <w:r w:rsidRPr="006C6369">
              <w:rPr>
                <w:b/>
                <w:bCs/>
                <w:sz w:val="22"/>
                <w:szCs w:val="22"/>
              </w:rPr>
              <w:t>Capital</w:t>
            </w:r>
          </w:p>
        </w:tc>
        <w:tc>
          <w:tcPr>
            <w:tcW w:w="0" w:type="auto"/>
            <w:tcBorders>
              <w:top w:val="single" w:sz="6" w:space="0" w:color="auto"/>
              <w:left w:val="single" w:sz="6" w:space="0" w:color="auto"/>
              <w:bottom w:val="single" w:sz="6" w:space="0" w:color="auto"/>
              <w:right w:val="single" w:sz="6" w:space="0" w:color="auto"/>
            </w:tcBorders>
            <w:vAlign w:val="center"/>
            <w:hideMark/>
          </w:tcPr>
          <w:p w14:paraId="13897EC0" w14:textId="77777777" w:rsidR="006C6369" w:rsidRPr="006C6369" w:rsidRDefault="006C6369" w:rsidP="00C84D58">
            <w:pPr>
              <w:spacing w:before="120" w:after="120" w:line="240" w:lineRule="auto"/>
              <w:ind w:left="110"/>
              <w:rPr>
                <w:sz w:val="22"/>
                <w:szCs w:val="22"/>
              </w:rPr>
            </w:pPr>
            <w:r w:rsidRPr="006C6369">
              <w:rPr>
                <w:sz w:val="22"/>
                <w:szCs w:val="22"/>
              </w:rPr>
              <w:t>Minimum reserves</w:t>
            </w:r>
          </w:p>
        </w:tc>
        <w:tc>
          <w:tcPr>
            <w:tcW w:w="3930" w:type="dxa"/>
            <w:tcBorders>
              <w:top w:val="single" w:sz="6" w:space="0" w:color="auto"/>
              <w:left w:val="single" w:sz="6" w:space="0" w:color="auto"/>
              <w:bottom w:val="single" w:sz="6" w:space="0" w:color="auto"/>
              <w:right w:val="single" w:sz="6" w:space="0" w:color="auto"/>
            </w:tcBorders>
            <w:vAlign w:val="center"/>
            <w:hideMark/>
          </w:tcPr>
          <w:p w14:paraId="1CD05050" w14:textId="15643F5C" w:rsidR="006C6369" w:rsidRPr="006C6369" w:rsidRDefault="006C6369" w:rsidP="00C84D58">
            <w:pPr>
              <w:spacing w:before="120" w:after="120" w:line="240" w:lineRule="auto"/>
              <w:ind w:left="110"/>
              <w:rPr>
                <w:sz w:val="22"/>
                <w:szCs w:val="22"/>
              </w:rPr>
            </w:pPr>
            <w:r w:rsidRPr="006C6369">
              <w:rPr>
                <w:b/>
                <w:bCs/>
                <w:sz w:val="22"/>
                <w:szCs w:val="22"/>
              </w:rPr>
              <w:t>Risk-based/Buffer-heavy</w:t>
            </w:r>
          </w:p>
        </w:tc>
      </w:tr>
      <w:tr w:rsidR="006C6369" w:rsidRPr="006C6369" w14:paraId="155B1643" w14:textId="77777777" w:rsidTr="000540B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900527C" w14:textId="77777777" w:rsidR="006C6369" w:rsidRPr="006C6369" w:rsidRDefault="006C6369" w:rsidP="00C84D58">
            <w:pPr>
              <w:spacing w:before="120" w:after="120" w:line="240" w:lineRule="auto"/>
              <w:ind w:left="110"/>
              <w:rPr>
                <w:sz w:val="22"/>
                <w:szCs w:val="22"/>
              </w:rPr>
            </w:pPr>
            <w:r w:rsidRPr="006C6369">
              <w:rPr>
                <w:b/>
                <w:bCs/>
                <w:sz w:val="22"/>
                <w:szCs w:val="22"/>
              </w:rPr>
              <w:t>Role</w:t>
            </w:r>
          </w:p>
        </w:tc>
        <w:tc>
          <w:tcPr>
            <w:tcW w:w="0" w:type="auto"/>
            <w:tcBorders>
              <w:top w:val="single" w:sz="6" w:space="0" w:color="auto"/>
              <w:left w:val="single" w:sz="6" w:space="0" w:color="auto"/>
              <w:bottom w:val="single" w:sz="6" w:space="0" w:color="auto"/>
              <w:right w:val="single" w:sz="6" w:space="0" w:color="auto"/>
            </w:tcBorders>
            <w:vAlign w:val="center"/>
            <w:hideMark/>
          </w:tcPr>
          <w:p w14:paraId="5C69360A" w14:textId="77777777" w:rsidR="006C6369" w:rsidRPr="006C6369" w:rsidRDefault="006C6369" w:rsidP="00C84D58">
            <w:pPr>
              <w:spacing w:before="120" w:after="120" w:line="240" w:lineRule="auto"/>
              <w:ind w:left="110"/>
              <w:rPr>
                <w:sz w:val="22"/>
                <w:szCs w:val="22"/>
              </w:rPr>
            </w:pPr>
            <w:r w:rsidRPr="006C6369">
              <w:rPr>
                <w:sz w:val="22"/>
                <w:szCs w:val="22"/>
              </w:rPr>
              <w:t>Facilitates trades</w:t>
            </w:r>
          </w:p>
        </w:tc>
        <w:tc>
          <w:tcPr>
            <w:tcW w:w="3930" w:type="dxa"/>
            <w:tcBorders>
              <w:top w:val="single" w:sz="6" w:space="0" w:color="auto"/>
              <w:left w:val="single" w:sz="6" w:space="0" w:color="auto"/>
              <w:bottom w:val="single" w:sz="6" w:space="0" w:color="auto"/>
              <w:right w:val="single" w:sz="6" w:space="0" w:color="auto"/>
            </w:tcBorders>
            <w:vAlign w:val="center"/>
            <w:hideMark/>
          </w:tcPr>
          <w:p w14:paraId="4B4AF30D" w14:textId="77777777" w:rsidR="006C6369" w:rsidRPr="006C6369" w:rsidRDefault="006C6369" w:rsidP="00C84D58">
            <w:pPr>
              <w:spacing w:before="120" w:after="120" w:line="240" w:lineRule="auto"/>
              <w:ind w:left="110"/>
              <w:rPr>
                <w:sz w:val="22"/>
                <w:szCs w:val="22"/>
              </w:rPr>
            </w:pPr>
            <w:r w:rsidRPr="006C6369">
              <w:rPr>
                <w:b/>
                <w:bCs/>
                <w:sz w:val="22"/>
                <w:szCs w:val="22"/>
              </w:rPr>
              <w:t>Guarantees the Market</w:t>
            </w:r>
          </w:p>
        </w:tc>
      </w:tr>
    </w:tbl>
    <w:p w14:paraId="0E2F1BA3" w14:textId="3CC2927C" w:rsidR="00A10E20" w:rsidRPr="006D31AF" w:rsidRDefault="00A10E20" w:rsidP="000540B0">
      <w:pPr>
        <w:spacing w:after="120" w:line="240" w:lineRule="auto"/>
        <w:rPr>
          <w:sz w:val="22"/>
          <w:szCs w:val="22"/>
        </w:rPr>
      </w:pPr>
      <w:r w:rsidRPr="006D31AF">
        <w:rPr>
          <w:sz w:val="22"/>
          <w:szCs w:val="22"/>
        </w:rPr>
        <w:t>For GSCX’s institutional and sovereign clients (</w:t>
      </w:r>
      <w:r w:rsidR="00432FF1">
        <w:rPr>
          <w:sz w:val="22"/>
          <w:szCs w:val="22"/>
        </w:rPr>
        <w:t xml:space="preserve">Central Banks, </w:t>
      </w:r>
      <w:r w:rsidRPr="006D31AF">
        <w:rPr>
          <w:sz w:val="22"/>
          <w:szCs w:val="22"/>
        </w:rPr>
        <w:t xml:space="preserve">SWFs, </w:t>
      </w:r>
      <w:r w:rsidR="00432FF1" w:rsidRPr="006D31AF">
        <w:rPr>
          <w:sz w:val="22"/>
          <w:szCs w:val="22"/>
        </w:rPr>
        <w:t>Family Offices</w:t>
      </w:r>
      <w:r w:rsidRPr="006D31AF">
        <w:rPr>
          <w:sz w:val="22"/>
          <w:szCs w:val="22"/>
        </w:rPr>
        <w:t>), EAL5+ provides:</w:t>
      </w:r>
    </w:p>
    <w:p w14:paraId="4043E38D" w14:textId="77777777" w:rsidR="00A10E20" w:rsidRPr="006D31AF" w:rsidRDefault="00A10E20" w:rsidP="000540B0">
      <w:pPr>
        <w:numPr>
          <w:ilvl w:val="0"/>
          <w:numId w:val="22"/>
        </w:numPr>
        <w:spacing w:after="120" w:line="240" w:lineRule="auto"/>
        <w:rPr>
          <w:sz w:val="22"/>
          <w:szCs w:val="22"/>
        </w:rPr>
      </w:pPr>
      <w:r w:rsidRPr="006D31AF">
        <w:rPr>
          <w:b/>
          <w:bCs/>
          <w:sz w:val="22"/>
          <w:szCs w:val="22"/>
        </w:rPr>
        <w:t>Central Bank Standard:</w:t>
      </w:r>
      <w:r w:rsidRPr="006D31AF">
        <w:rPr>
          <w:sz w:val="22"/>
          <w:szCs w:val="22"/>
        </w:rPr>
        <w:t xml:space="preserve"> It is the same security standard required for high-value settlement systems used by the world’s largest central banks.</w:t>
      </w:r>
    </w:p>
    <w:p w14:paraId="077D7FED" w14:textId="77777777" w:rsidR="00A10E20" w:rsidRPr="006D31AF" w:rsidRDefault="00A10E20" w:rsidP="000540B0">
      <w:pPr>
        <w:numPr>
          <w:ilvl w:val="0"/>
          <w:numId w:val="22"/>
        </w:numPr>
        <w:spacing w:after="120" w:line="240" w:lineRule="auto"/>
        <w:rPr>
          <w:sz w:val="22"/>
          <w:szCs w:val="22"/>
        </w:rPr>
      </w:pPr>
      <w:r w:rsidRPr="006D31AF">
        <w:rPr>
          <w:b/>
          <w:bCs/>
          <w:sz w:val="22"/>
          <w:szCs w:val="22"/>
        </w:rPr>
        <w:t>Protection Against "Privileged Users":</w:t>
      </w:r>
      <w:r w:rsidRPr="006D31AF">
        <w:rPr>
          <w:sz w:val="22"/>
          <w:szCs w:val="22"/>
        </w:rPr>
        <w:t xml:space="preserve"> It ensures that even a system administrator at the datacenter level cannot "peek" into the encrypted Trusted Execution Environments (TEEs) where GSCX manages private keys and clearinghouse netting.</w:t>
      </w:r>
    </w:p>
    <w:p w14:paraId="74A1698E" w14:textId="77777777" w:rsidR="00A10E20" w:rsidRPr="006D31AF" w:rsidRDefault="00A10E20" w:rsidP="000540B0">
      <w:pPr>
        <w:numPr>
          <w:ilvl w:val="0"/>
          <w:numId w:val="22"/>
        </w:numPr>
        <w:spacing w:after="120" w:line="240" w:lineRule="auto"/>
        <w:rPr>
          <w:sz w:val="22"/>
          <w:szCs w:val="22"/>
        </w:rPr>
      </w:pPr>
      <w:r w:rsidRPr="006D31AF">
        <w:rPr>
          <w:b/>
          <w:bCs/>
          <w:sz w:val="22"/>
          <w:szCs w:val="22"/>
        </w:rPr>
        <w:t>Immunity to Common Vulnerabilities:</w:t>
      </w:r>
      <w:r w:rsidRPr="006D31AF">
        <w:rPr>
          <w:sz w:val="22"/>
          <w:szCs w:val="22"/>
        </w:rPr>
        <w:t xml:space="preserve"> High EAL ratings imply the hardware is hardened against </w:t>
      </w:r>
      <w:proofErr w:type="gramStart"/>
      <w:r w:rsidRPr="006D31AF">
        <w:rPr>
          <w:sz w:val="22"/>
          <w:szCs w:val="22"/>
        </w:rPr>
        <w:t>the vast majority of</w:t>
      </w:r>
      <w:proofErr w:type="gramEnd"/>
      <w:r w:rsidRPr="006D31AF">
        <w:rPr>
          <w:sz w:val="22"/>
          <w:szCs w:val="22"/>
        </w:rPr>
        <w:t xml:space="preserve"> software-based penetration techniques and "Man-in-the-Middle" attacks at the hardware level.</w:t>
      </w:r>
    </w:p>
    <w:p w14:paraId="6F5B7135" w14:textId="316A0884" w:rsidR="00A10E20" w:rsidRDefault="00A10E20" w:rsidP="000540B0">
      <w:pPr>
        <w:spacing w:after="120" w:line="240" w:lineRule="auto"/>
        <w:rPr>
          <w:sz w:val="22"/>
          <w:szCs w:val="22"/>
        </w:rPr>
      </w:pPr>
      <w:r w:rsidRPr="00DB4EEC">
        <w:rPr>
          <w:sz w:val="22"/>
          <w:szCs w:val="22"/>
        </w:rPr>
        <w:t xml:space="preserve">By utilizing EAL5+ infrastructure, GSCX transitions from a "FinTech startup" </w:t>
      </w:r>
      <w:r w:rsidR="000540B0">
        <w:rPr>
          <w:sz w:val="22"/>
          <w:szCs w:val="22"/>
        </w:rPr>
        <w:t xml:space="preserve">or even a “Tradetech startup” </w:t>
      </w:r>
      <w:r w:rsidRPr="00DB4EEC">
        <w:rPr>
          <w:sz w:val="22"/>
          <w:szCs w:val="22"/>
        </w:rPr>
        <w:t xml:space="preserve">to a </w:t>
      </w:r>
      <w:r w:rsidRPr="00DB4EEC">
        <w:rPr>
          <w:b/>
          <w:bCs/>
          <w:sz w:val="22"/>
          <w:szCs w:val="22"/>
        </w:rPr>
        <w:t>Systemically Important Financial Utility</w:t>
      </w:r>
      <w:r w:rsidRPr="00DB4EEC">
        <w:rPr>
          <w:sz w:val="22"/>
          <w:szCs w:val="22"/>
        </w:rPr>
        <w:t xml:space="preserve">, providing the technical "Proof of Security" required by the BMA and ADGM FSRA for the </w:t>
      </w:r>
      <w:r w:rsidRPr="00DB4EEC">
        <w:rPr>
          <w:b/>
          <w:bCs/>
          <w:sz w:val="22"/>
          <w:szCs w:val="22"/>
        </w:rPr>
        <w:t>ADGM-BMA Regulatory Bridge</w:t>
      </w:r>
      <w:r w:rsidRPr="00DB4EEC">
        <w:rPr>
          <w:sz w:val="22"/>
          <w:szCs w:val="22"/>
        </w:rPr>
        <w:t>.</w:t>
      </w:r>
    </w:p>
    <w:p w14:paraId="121420CF" w14:textId="77777777" w:rsidR="000540B0" w:rsidRPr="006C6369" w:rsidRDefault="000540B0" w:rsidP="000540B0">
      <w:pPr>
        <w:spacing w:after="120" w:line="240" w:lineRule="auto"/>
        <w:rPr>
          <w:sz w:val="22"/>
          <w:szCs w:val="22"/>
        </w:rPr>
      </w:pPr>
      <w:r>
        <w:rPr>
          <w:sz w:val="22"/>
          <w:szCs w:val="22"/>
        </w:rPr>
        <w:t>A</w:t>
      </w:r>
      <w:r w:rsidRPr="006C6369">
        <w:rPr>
          <w:sz w:val="22"/>
          <w:szCs w:val="22"/>
        </w:rPr>
        <w:t xml:space="preserve">s a </w:t>
      </w:r>
      <w:r w:rsidRPr="006C6369">
        <w:rPr>
          <w:b/>
          <w:bCs/>
          <w:sz w:val="22"/>
          <w:szCs w:val="22"/>
        </w:rPr>
        <w:t>SIFU</w:t>
      </w:r>
      <w:r w:rsidRPr="006C6369">
        <w:rPr>
          <w:sz w:val="22"/>
          <w:szCs w:val="22"/>
        </w:rPr>
        <w:t xml:space="preserve">, </w:t>
      </w:r>
      <w:r>
        <w:rPr>
          <w:sz w:val="22"/>
          <w:szCs w:val="22"/>
        </w:rPr>
        <w:t>the company is not simply an operation wrapped around a digital exchange</w:t>
      </w:r>
      <w:r w:rsidRPr="006C6369">
        <w:rPr>
          <w:sz w:val="22"/>
          <w:szCs w:val="22"/>
        </w:rPr>
        <w:t xml:space="preserve">, but a </w:t>
      </w:r>
      <w:r w:rsidRPr="006C6369">
        <w:rPr>
          <w:b/>
          <w:bCs/>
          <w:sz w:val="22"/>
          <w:szCs w:val="22"/>
        </w:rPr>
        <w:t>critical piece of the 21st-century global financial infrastructure.</w:t>
      </w:r>
    </w:p>
    <w:p w14:paraId="2212EB94" w14:textId="77777777" w:rsidR="00A10E20" w:rsidRPr="00F5103A" w:rsidRDefault="00A10E20" w:rsidP="00A10E20">
      <w:pPr>
        <w:rPr>
          <w:b/>
          <w:bCs/>
        </w:rPr>
      </w:pPr>
      <w:r w:rsidRPr="00F5103A">
        <w:rPr>
          <w:b/>
          <w:bCs/>
        </w:rPr>
        <w:t>Critical Business Services &amp; Infrastructure Mapping</w:t>
      </w:r>
    </w:p>
    <w:p w14:paraId="4AE440D7" w14:textId="77777777" w:rsidR="00A10E20" w:rsidRPr="00F5103A" w:rsidRDefault="00A10E20" w:rsidP="00A10E20">
      <w:pPr>
        <w:rPr>
          <w:sz w:val="22"/>
          <w:szCs w:val="22"/>
        </w:rPr>
      </w:pPr>
      <w:r w:rsidRPr="00F5103A">
        <w:rPr>
          <w:sz w:val="22"/>
          <w:szCs w:val="22"/>
        </w:rPr>
        <w:t xml:space="preserve">This table maps the critical nodes required for the BMA's </w:t>
      </w:r>
      <w:r w:rsidRPr="00F5103A">
        <w:rPr>
          <w:b/>
          <w:bCs/>
          <w:sz w:val="22"/>
          <w:szCs w:val="22"/>
        </w:rPr>
        <w:t>"Important Business Services" (IBS)</w:t>
      </w:r>
      <w:r w:rsidRPr="00F5103A">
        <w:rPr>
          <w:sz w:val="22"/>
          <w:szCs w:val="22"/>
        </w:rPr>
        <w:t xml:space="preserve"> assessment.</w:t>
      </w:r>
    </w:p>
    <w:tbl>
      <w:tblPr>
        <w:tblW w:w="0" w:type="auto"/>
        <w:tblCellSpacing w:w="15" w:type="dxa"/>
        <w:tblCellMar>
          <w:left w:w="0" w:type="dxa"/>
          <w:right w:w="0" w:type="dxa"/>
        </w:tblCellMar>
        <w:tblLook w:val="04A0" w:firstRow="1" w:lastRow="0" w:firstColumn="1" w:lastColumn="0" w:noHBand="0" w:noVBand="1"/>
      </w:tblPr>
      <w:tblGrid>
        <w:gridCol w:w="1798"/>
        <w:gridCol w:w="2242"/>
        <w:gridCol w:w="2340"/>
        <w:gridCol w:w="2960"/>
      </w:tblGrid>
      <w:tr w:rsidR="00A10E20" w:rsidRPr="00F5103A" w14:paraId="7D2F0DA7" w14:textId="77777777" w:rsidTr="00770A1C">
        <w:trPr>
          <w:tblHeader/>
          <w:tblCellSpacing w:w="15" w:type="dxa"/>
        </w:trPr>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31985B29" w14:textId="77777777" w:rsidR="00A10E20" w:rsidRPr="00F5103A" w:rsidRDefault="00A10E20" w:rsidP="00770A1C">
            <w:pPr>
              <w:ind w:left="100"/>
              <w:rPr>
                <w:sz w:val="22"/>
                <w:szCs w:val="22"/>
              </w:rPr>
            </w:pPr>
            <w:r w:rsidRPr="00F5103A">
              <w:rPr>
                <w:b/>
                <w:bCs/>
                <w:sz w:val="22"/>
                <w:szCs w:val="22"/>
              </w:rPr>
              <w:t>Function</w:t>
            </w:r>
          </w:p>
        </w:tc>
        <w:tc>
          <w:tcPr>
            <w:tcW w:w="221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3CEE12AE" w14:textId="77777777" w:rsidR="00A10E20" w:rsidRPr="00F5103A" w:rsidRDefault="00A10E20" w:rsidP="00770A1C">
            <w:pPr>
              <w:ind w:left="100"/>
              <w:rPr>
                <w:sz w:val="22"/>
                <w:szCs w:val="22"/>
              </w:rPr>
            </w:pPr>
            <w:r w:rsidRPr="00F5103A">
              <w:rPr>
                <w:b/>
                <w:bCs/>
                <w:sz w:val="22"/>
                <w:szCs w:val="22"/>
              </w:rPr>
              <w:t>Primary Node (USA)</w:t>
            </w:r>
          </w:p>
        </w:tc>
        <w:tc>
          <w:tcPr>
            <w:tcW w:w="231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144F6E70" w14:textId="77777777" w:rsidR="00A10E20" w:rsidRPr="00F5103A" w:rsidRDefault="00A10E20" w:rsidP="00770A1C">
            <w:pPr>
              <w:ind w:left="100"/>
              <w:rPr>
                <w:sz w:val="22"/>
                <w:szCs w:val="22"/>
              </w:rPr>
            </w:pPr>
            <w:r w:rsidRPr="00F5103A">
              <w:rPr>
                <w:b/>
                <w:bCs/>
                <w:sz w:val="22"/>
                <w:szCs w:val="22"/>
              </w:rPr>
              <w:t>Redundancy Node (Bermuda)</w:t>
            </w:r>
          </w:p>
        </w:tc>
        <w:tc>
          <w:tcPr>
            <w:tcW w:w="291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464C6E44" w14:textId="77777777" w:rsidR="00A10E20" w:rsidRPr="00F5103A" w:rsidRDefault="00A10E20" w:rsidP="00770A1C">
            <w:pPr>
              <w:ind w:left="100"/>
              <w:rPr>
                <w:sz w:val="22"/>
                <w:szCs w:val="22"/>
              </w:rPr>
            </w:pPr>
            <w:r w:rsidRPr="00F5103A">
              <w:rPr>
                <w:b/>
                <w:bCs/>
                <w:sz w:val="22"/>
                <w:szCs w:val="22"/>
              </w:rPr>
              <w:t>Failover Mechanism</w:t>
            </w:r>
          </w:p>
        </w:tc>
      </w:tr>
      <w:tr w:rsidR="00A10E20" w:rsidRPr="00F5103A" w14:paraId="70F39684" w14:textId="77777777" w:rsidTr="00770A1C">
        <w:trPr>
          <w:tblCellSpacing w:w="15" w:type="dxa"/>
        </w:trPr>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112BAF8A" w14:textId="77777777" w:rsidR="00A10E20" w:rsidRPr="00F5103A" w:rsidRDefault="00A10E20" w:rsidP="00770A1C">
            <w:pPr>
              <w:ind w:left="100"/>
              <w:rPr>
                <w:sz w:val="22"/>
                <w:szCs w:val="22"/>
              </w:rPr>
            </w:pPr>
            <w:r w:rsidRPr="00F5103A">
              <w:rPr>
                <w:b/>
                <w:bCs/>
                <w:sz w:val="22"/>
                <w:szCs w:val="22"/>
              </w:rPr>
              <w:t>Private Key Signing</w:t>
            </w:r>
          </w:p>
        </w:tc>
        <w:tc>
          <w:tcPr>
            <w:tcW w:w="221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53F9FBF3" w14:textId="77777777" w:rsidR="00A10E20" w:rsidRPr="00F5103A" w:rsidRDefault="00A10E20" w:rsidP="00770A1C">
            <w:pPr>
              <w:ind w:left="100"/>
              <w:rPr>
                <w:sz w:val="22"/>
                <w:szCs w:val="22"/>
              </w:rPr>
            </w:pPr>
            <w:r w:rsidRPr="00F5103A">
              <w:rPr>
                <w:sz w:val="22"/>
                <w:szCs w:val="22"/>
              </w:rPr>
              <w:t>IBM LinuxONE (Crypto Express 8S)</w:t>
            </w:r>
          </w:p>
        </w:tc>
        <w:tc>
          <w:tcPr>
            <w:tcW w:w="231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384389AC" w14:textId="77777777" w:rsidR="00A10E20" w:rsidRPr="00F5103A" w:rsidRDefault="00A10E20" w:rsidP="00770A1C">
            <w:pPr>
              <w:ind w:left="100"/>
              <w:rPr>
                <w:sz w:val="22"/>
                <w:szCs w:val="22"/>
              </w:rPr>
            </w:pPr>
            <w:r w:rsidRPr="00F5103A">
              <w:rPr>
                <w:sz w:val="22"/>
                <w:szCs w:val="22"/>
              </w:rPr>
              <w:t>Bermuda Cloud (MPC Shard Enclave)</w:t>
            </w:r>
          </w:p>
        </w:tc>
        <w:tc>
          <w:tcPr>
            <w:tcW w:w="291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120550A5" w14:textId="77777777" w:rsidR="00A10E20" w:rsidRPr="00F5103A" w:rsidRDefault="00A10E20" w:rsidP="00770A1C">
            <w:pPr>
              <w:ind w:left="100"/>
              <w:rPr>
                <w:sz w:val="22"/>
                <w:szCs w:val="22"/>
              </w:rPr>
            </w:pPr>
            <w:r w:rsidRPr="00F5103A">
              <w:rPr>
                <w:sz w:val="22"/>
                <w:szCs w:val="22"/>
              </w:rPr>
              <w:t>Threshold Signature (2-of-3)</w:t>
            </w:r>
          </w:p>
        </w:tc>
      </w:tr>
      <w:tr w:rsidR="00A10E20" w:rsidRPr="00F5103A" w14:paraId="69B982FF" w14:textId="77777777" w:rsidTr="00770A1C">
        <w:trPr>
          <w:tblCellSpacing w:w="15" w:type="dxa"/>
        </w:trPr>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4BE23838" w14:textId="77777777" w:rsidR="00A10E20" w:rsidRPr="00F5103A" w:rsidRDefault="00A10E20" w:rsidP="00770A1C">
            <w:pPr>
              <w:ind w:left="100"/>
              <w:rPr>
                <w:sz w:val="22"/>
                <w:szCs w:val="22"/>
              </w:rPr>
            </w:pPr>
            <w:r w:rsidRPr="00F5103A">
              <w:rPr>
                <w:b/>
                <w:bCs/>
                <w:sz w:val="22"/>
                <w:szCs w:val="22"/>
              </w:rPr>
              <w:t>Transaction Ledger</w:t>
            </w:r>
          </w:p>
        </w:tc>
        <w:tc>
          <w:tcPr>
            <w:tcW w:w="221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40939655" w14:textId="77777777" w:rsidR="00A10E20" w:rsidRPr="00F5103A" w:rsidRDefault="00A10E20" w:rsidP="00770A1C">
            <w:pPr>
              <w:ind w:left="100"/>
              <w:rPr>
                <w:sz w:val="22"/>
                <w:szCs w:val="22"/>
              </w:rPr>
            </w:pPr>
            <w:r w:rsidRPr="00F5103A">
              <w:rPr>
                <w:sz w:val="22"/>
                <w:szCs w:val="22"/>
              </w:rPr>
              <w:t>IBM Hyper Protect DB</w:t>
            </w:r>
          </w:p>
        </w:tc>
        <w:tc>
          <w:tcPr>
            <w:tcW w:w="231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78FB1A7C" w14:textId="77777777" w:rsidR="00A10E20" w:rsidRPr="00F5103A" w:rsidRDefault="00A10E20" w:rsidP="00770A1C">
            <w:pPr>
              <w:ind w:left="100"/>
              <w:rPr>
                <w:sz w:val="22"/>
                <w:szCs w:val="22"/>
              </w:rPr>
            </w:pPr>
            <w:r w:rsidRPr="00F5103A">
              <w:rPr>
                <w:sz w:val="22"/>
                <w:szCs w:val="22"/>
              </w:rPr>
              <w:t>Synchronous Mirror (Local Cloud)</w:t>
            </w:r>
          </w:p>
        </w:tc>
        <w:tc>
          <w:tcPr>
            <w:tcW w:w="291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5433FE8E" w14:textId="77777777" w:rsidR="00A10E20" w:rsidRPr="00F5103A" w:rsidRDefault="00A10E20" w:rsidP="00770A1C">
            <w:pPr>
              <w:ind w:left="100"/>
              <w:rPr>
                <w:sz w:val="22"/>
                <w:szCs w:val="22"/>
              </w:rPr>
            </w:pPr>
            <w:r w:rsidRPr="00F5103A">
              <w:rPr>
                <w:sz w:val="22"/>
                <w:szCs w:val="22"/>
              </w:rPr>
              <w:t>Automated DB Cluster Sync</w:t>
            </w:r>
          </w:p>
        </w:tc>
      </w:tr>
      <w:tr w:rsidR="00A10E20" w:rsidRPr="00F5103A" w14:paraId="720AEE7B" w14:textId="77777777" w:rsidTr="00770A1C">
        <w:trPr>
          <w:tblCellSpacing w:w="15" w:type="dxa"/>
        </w:trPr>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0CE362AE" w14:textId="77777777" w:rsidR="00A10E20" w:rsidRPr="00F5103A" w:rsidRDefault="00A10E20" w:rsidP="00770A1C">
            <w:pPr>
              <w:ind w:left="100"/>
              <w:rPr>
                <w:sz w:val="22"/>
                <w:szCs w:val="22"/>
              </w:rPr>
            </w:pPr>
            <w:r w:rsidRPr="00F5103A">
              <w:rPr>
                <w:b/>
                <w:bCs/>
                <w:sz w:val="22"/>
                <w:szCs w:val="22"/>
              </w:rPr>
              <w:t>Audit Logging</w:t>
            </w:r>
          </w:p>
        </w:tc>
        <w:tc>
          <w:tcPr>
            <w:tcW w:w="221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0A4D7239" w14:textId="77777777" w:rsidR="00A10E20" w:rsidRPr="00F5103A" w:rsidRDefault="00A10E20" w:rsidP="00770A1C">
            <w:pPr>
              <w:ind w:left="100"/>
              <w:rPr>
                <w:sz w:val="22"/>
                <w:szCs w:val="22"/>
              </w:rPr>
            </w:pPr>
            <w:r w:rsidRPr="00F5103A">
              <w:rPr>
                <w:sz w:val="22"/>
                <w:szCs w:val="22"/>
              </w:rPr>
              <w:t>Immutable LinuxONE Journal</w:t>
            </w:r>
          </w:p>
        </w:tc>
        <w:tc>
          <w:tcPr>
            <w:tcW w:w="231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5823B359" w14:textId="77777777" w:rsidR="00A10E20" w:rsidRPr="00F5103A" w:rsidRDefault="00A10E20" w:rsidP="00770A1C">
            <w:pPr>
              <w:ind w:left="100"/>
              <w:rPr>
                <w:sz w:val="22"/>
                <w:szCs w:val="22"/>
              </w:rPr>
            </w:pPr>
            <w:r w:rsidRPr="00F5103A">
              <w:rPr>
                <w:sz w:val="22"/>
                <w:szCs w:val="22"/>
              </w:rPr>
              <w:t>Bermuda "Shadow" Audit Vault</w:t>
            </w:r>
          </w:p>
        </w:tc>
        <w:tc>
          <w:tcPr>
            <w:tcW w:w="291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6CA43179" w14:textId="77777777" w:rsidR="00A10E20" w:rsidRPr="00F5103A" w:rsidRDefault="00A10E20" w:rsidP="00770A1C">
            <w:pPr>
              <w:ind w:left="100"/>
              <w:rPr>
                <w:sz w:val="22"/>
                <w:szCs w:val="22"/>
              </w:rPr>
            </w:pPr>
            <w:r w:rsidRPr="00F5103A">
              <w:rPr>
                <w:sz w:val="22"/>
                <w:szCs w:val="22"/>
              </w:rPr>
              <w:t>Real-time Streaming</w:t>
            </w:r>
          </w:p>
        </w:tc>
      </w:tr>
      <w:tr w:rsidR="00A10E20" w:rsidRPr="00F5103A" w14:paraId="74F11EBE" w14:textId="77777777" w:rsidTr="00770A1C">
        <w:trPr>
          <w:tblCellSpacing w:w="15" w:type="dxa"/>
        </w:trPr>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286BEAE2" w14:textId="77777777" w:rsidR="00A10E20" w:rsidRPr="00F5103A" w:rsidRDefault="00A10E20" w:rsidP="00770A1C">
            <w:pPr>
              <w:ind w:left="100"/>
              <w:rPr>
                <w:sz w:val="22"/>
                <w:szCs w:val="22"/>
              </w:rPr>
            </w:pPr>
            <w:r w:rsidRPr="00F5103A">
              <w:rPr>
                <w:b/>
                <w:bCs/>
                <w:sz w:val="22"/>
                <w:szCs w:val="22"/>
              </w:rPr>
              <w:t>Client Interface</w:t>
            </w:r>
          </w:p>
        </w:tc>
        <w:tc>
          <w:tcPr>
            <w:tcW w:w="221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4F1E9FDD" w14:textId="7D279DE5" w:rsidR="00A10E20" w:rsidRPr="00F5103A" w:rsidRDefault="00A10E20" w:rsidP="00770A1C">
            <w:pPr>
              <w:ind w:left="100"/>
              <w:rPr>
                <w:sz w:val="22"/>
                <w:szCs w:val="22"/>
              </w:rPr>
            </w:pPr>
            <w:r w:rsidRPr="00F5103A">
              <w:rPr>
                <w:sz w:val="22"/>
                <w:szCs w:val="22"/>
              </w:rPr>
              <w:t>GSCX Trade Portal (</w:t>
            </w:r>
            <w:r w:rsidR="00432FF1" w:rsidRPr="00F5103A">
              <w:rPr>
                <w:sz w:val="22"/>
                <w:szCs w:val="22"/>
              </w:rPr>
              <w:t>East</w:t>
            </w:r>
            <w:r w:rsidR="00432FF1">
              <w:rPr>
                <w:sz w:val="22"/>
                <w:szCs w:val="22"/>
              </w:rPr>
              <w:t>; West</w:t>
            </w:r>
            <w:r w:rsidRPr="00F5103A">
              <w:rPr>
                <w:sz w:val="22"/>
                <w:szCs w:val="22"/>
              </w:rPr>
              <w:t>)</w:t>
            </w:r>
          </w:p>
        </w:tc>
        <w:tc>
          <w:tcPr>
            <w:tcW w:w="231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64E7D13A" w14:textId="77777777" w:rsidR="00A10E20" w:rsidRPr="00F5103A" w:rsidRDefault="00A10E20" w:rsidP="00770A1C">
            <w:pPr>
              <w:ind w:left="100"/>
              <w:rPr>
                <w:sz w:val="22"/>
                <w:szCs w:val="22"/>
              </w:rPr>
            </w:pPr>
            <w:r w:rsidRPr="00F5103A">
              <w:rPr>
                <w:sz w:val="22"/>
                <w:szCs w:val="22"/>
              </w:rPr>
              <w:t>Bermuda Gateway (Local)</w:t>
            </w:r>
          </w:p>
        </w:tc>
        <w:tc>
          <w:tcPr>
            <w:tcW w:w="291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2C528626" w14:textId="77777777" w:rsidR="00A10E20" w:rsidRPr="00F5103A" w:rsidRDefault="00A10E20" w:rsidP="00770A1C">
            <w:pPr>
              <w:ind w:left="100"/>
              <w:rPr>
                <w:sz w:val="22"/>
                <w:szCs w:val="22"/>
              </w:rPr>
            </w:pPr>
            <w:r w:rsidRPr="00F5103A">
              <w:rPr>
                <w:sz w:val="22"/>
                <w:szCs w:val="22"/>
              </w:rPr>
              <w:t>Global Server Load Balancing</w:t>
            </w:r>
          </w:p>
        </w:tc>
      </w:tr>
    </w:tbl>
    <w:p w14:paraId="61354F0A" w14:textId="77777777" w:rsidR="00A10E20" w:rsidRPr="00F5103A" w:rsidRDefault="00A10E20" w:rsidP="00A10E20">
      <w:pPr>
        <w:spacing w:before="120" w:after="120" w:line="240" w:lineRule="auto"/>
        <w:rPr>
          <w:b/>
          <w:bCs/>
        </w:rPr>
      </w:pPr>
      <w:r w:rsidRPr="00F5103A">
        <w:rPr>
          <w:b/>
          <w:bCs/>
        </w:rPr>
        <w:lastRenderedPageBreak/>
        <w:t>Operational Resilience Standards (RTO/RPO)</w:t>
      </w:r>
    </w:p>
    <w:p w14:paraId="552621C0" w14:textId="77777777" w:rsidR="00A10E20" w:rsidRPr="00F5103A" w:rsidRDefault="00A10E20" w:rsidP="000540B0">
      <w:pPr>
        <w:spacing w:after="120" w:line="240" w:lineRule="auto"/>
        <w:rPr>
          <w:sz w:val="22"/>
          <w:szCs w:val="22"/>
        </w:rPr>
      </w:pPr>
      <w:r w:rsidRPr="00F5103A">
        <w:rPr>
          <w:sz w:val="22"/>
          <w:szCs w:val="22"/>
        </w:rPr>
        <w:t>The BMA requires specific benchmarks for "institutional-grade" licensees.</w:t>
      </w:r>
    </w:p>
    <w:p w14:paraId="32E9AAE7" w14:textId="7644EA34" w:rsidR="00A10E20" w:rsidRPr="00F5103A" w:rsidRDefault="00A10E20" w:rsidP="000540B0">
      <w:pPr>
        <w:numPr>
          <w:ilvl w:val="0"/>
          <w:numId w:val="19"/>
        </w:numPr>
        <w:spacing w:after="120" w:line="240" w:lineRule="auto"/>
        <w:rPr>
          <w:sz w:val="22"/>
          <w:szCs w:val="22"/>
        </w:rPr>
      </w:pPr>
      <w:r w:rsidRPr="00F5103A">
        <w:rPr>
          <w:b/>
          <w:bCs/>
          <w:sz w:val="22"/>
          <w:szCs w:val="22"/>
        </w:rPr>
        <w:t>Recovery Time Objective (RTO):</w:t>
      </w:r>
      <w:r w:rsidRPr="00F5103A">
        <w:rPr>
          <w:sz w:val="22"/>
          <w:szCs w:val="22"/>
        </w:rPr>
        <w:t xml:space="preserve"> </w:t>
      </w:r>
      <w:r w:rsidRPr="00F5103A">
        <w:rPr>
          <w:b/>
          <w:bCs/>
          <w:sz w:val="22"/>
          <w:szCs w:val="22"/>
        </w:rPr>
        <w:t>&lt; 4 Hours.</w:t>
      </w:r>
      <w:r w:rsidRPr="00F5103A">
        <w:rPr>
          <w:sz w:val="22"/>
          <w:szCs w:val="22"/>
        </w:rPr>
        <w:t xml:space="preserve"> In the event of a total </w:t>
      </w:r>
      <w:r w:rsidR="005652F0">
        <w:rPr>
          <w:sz w:val="22"/>
          <w:szCs w:val="22"/>
        </w:rPr>
        <w:t>loss of US and Swiss data centers</w:t>
      </w:r>
      <w:r w:rsidRPr="00F5103A">
        <w:rPr>
          <w:sz w:val="22"/>
          <w:szCs w:val="22"/>
        </w:rPr>
        <w:t>, GSCX can resume custodial approvals via the Bermuda redundancy cloud.</w:t>
      </w:r>
    </w:p>
    <w:p w14:paraId="494E25D3" w14:textId="77777777" w:rsidR="00A10E20" w:rsidRPr="00F5103A" w:rsidRDefault="00A10E20" w:rsidP="000540B0">
      <w:pPr>
        <w:numPr>
          <w:ilvl w:val="0"/>
          <w:numId w:val="19"/>
        </w:numPr>
        <w:spacing w:after="120" w:line="240" w:lineRule="auto"/>
        <w:rPr>
          <w:sz w:val="22"/>
          <w:szCs w:val="22"/>
        </w:rPr>
      </w:pPr>
      <w:r w:rsidRPr="00F5103A">
        <w:rPr>
          <w:b/>
          <w:bCs/>
          <w:sz w:val="22"/>
          <w:szCs w:val="22"/>
        </w:rPr>
        <w:t>Recovery Point Objective (RPO):</w:t>
      </w:r>
      <w:r w:rsidRPr="00F5103A">
        <w:rPr>
          <w:sz w:val="22"/>
          <w:szCs w:val="22"/>
        </w:rPr>
        <w:t xml:space="preserve"> </w:t>
      </w:r>
      <w:r w:rsidRPr="00F5103A">
        <w:rPr>
          <w:b/>
          <w:bCs/>
          <w:sz w:val="22"/>
          <w:szCs w:val="22"/>
        </w:rPr>
        <w:t>Near-Zero.</w:t>
      </w:r>
      <w:r w:rsidRPr="00F5103A">
        <w:rPr>
          <w:sz w:val="22"/>
          <w:szCs w:val="22"/>
        </w:rPr>
        <w:t xml:space="preserve"> All transaction data is synchronously replicated via subsea fiber to the Hamilton-based mirror site.</w:t>
      </w:r>
    </w:p>
    <w:p w14:paraId="560DFB8C" w14:textId="77777777" w:rsidR="00A10E20" w:rsidRPr="00F5103A" w:rsidRDefault="00A10E20" w:rsidP="000540B0">
      <w:pPr>
        <w:numPr>
          <w:ilvl w:val="0"/>
          <w:numId w:val="19"/>
        </w:numPr>
        <w:spacing w:after="120" w:line="240" w:lineRule="auto"/>
        <w:rPr>
          <w:sz w:val="22"/>
          <w:szCs w:val="22"/>
        </w:rPr>
      </w:pPr>
      <w:r w:rsidRPr="00F5103A">
        <w:rPr>
          <w:b/>
          <w:bCs/>
          <w:sz w:val="22"/>
          <w:szCs w:val="22"/>
        </w:rPr>
        <w:t>Maximum Tolerable Period of Disruption (MTPD):</w:t>
      </w:r>
      <w:r w:rsidRPr="00F5103A">
        <w:rPr>
          <w:sz w:val="22"/>
          <w:szCs w:val="22"/>
        </w:rPr>
        <w:t xml:space="preserve"> </w:t>
      </w:r>
      <w:r w:rsidRPr="00F5103A">
        <w:rPr>
          <w:b/>
          <w:bCs/>
          <w:sz w:val="22"/>
          <w:szCs w:val="22"/>
        </w:rPr>
        <w:t>24 Hours.</w:t>
      </w:r>
      <w:r w:rsidRPr="00F5103A">
        <w:rPr>
          <w:sz w:val="22"/>
          <w:szCs w:val="22"/>
        </w:rPr>
        <w:t xml:space="preserve"> Consistent with BMA 2026 systemic risk guidelines.</w:t>
      </w:r>
    </w:p>
    <w:p w14:paraId="588EBC14" w14:textId="77777777" w:rsidR="00A10E20" w:rsidRPr="000540B0" w:rsidRDefault="00A10E20" w:rsidP="00A10E20">
      <w:pPr>
        <w:rPr>
          <w:b/>
          <w:bCs/>
          <w:sz w:val="22"/>
          <w:szCs w:val="22"/>
        </w:rPr>
      </w:pPr>
      <w:r w:rsidRPr="000540B0">
        <w:rPr>
          <w:b/>
          <w:bCs/>
          <w:sz w:val="22"/>
          <w:szCs w:val="22"/>
        </w:rPr>
        <w:t>"Stressed Exit" &amp; Jurisdictional Control</w:t>
      </w:r>
    </w:p>
    <w:p w14:paraId="1A06D21E" w14:textId="22400186" w:rsidR="008D74E7" w:rsidRDefault="008D74E7" w:rsidP="000540B0">
      <w:pPr>
        <w:spacing w:after="120" w:line="240" w:lineRule="auto"/>
        <w:rPr>
          <w:sz w:val="22"/>
          <w:szCs w:val="22"/>
        </w:rPr>
      </w:pPr>
      <w:r w:rsidRPr="008D74E7">
        <w:rPr>
          <w:sz w:val="22"/>
          <w:szCs w:val="22"/>
        </w:rPr>
        <w:t xml:space="preserve">GSCX employs a </w:t>
      </w:r>
      <w:r w:rsidRPr="008D74E7">
        <w:rPr>
          <w:b/>
          <w:bCs/>
          <w:sz w:val="22"/>
          <w:szCs w:val="22"/>
        </w:rPr>
        <w:t>2-of-3 Multi-Party Computation (MPC) Shard Protocol</w:t>
      </w:r>
      <w:r w:rsidRPr="008D74E7">
        <w:rPr>
          <w:sz w:val="22"/>
          <w:szCs w:val="22"/>
        </w:rPr>
        <w:t xml:space="preserve"> to ensure jurisdictional independence. Key shards are </w:t>
      </w:r>
      <w:r w:rsidR="00852D76">
        <w:rPr>
          <w:sz w:val="22"/>
          <w:szCs w:val="22"/>
        </w:rPr>
        <w:t>held in the USA, Switzerland, and Bermuda, and any asset movement</w:t>
      </w:r>
      <w:r w:rsidRPr="008D74E7">
        <w:rPr>
          <w:sz w:val="22"/>
          <w:szCs w:val="22"/>
        </w:rPr>
        <w:t xml:space="preserve"> requires </w:t>
      </w:r>
      <w:r>
        <w:rPr>
          <w:sz w:val="22"/>
          <w:szCs w:val="22"/>
        </w:rPr>
        <w:t>at least</w:t>
      </w:r>
      <w:r w:rsidRPr="008D74E7">
        <w:rPr>
          <w:sz w:val="22"/>
          <w:szCs w:val="22"/>
        </w:rPr>
        <w:t xml:space="preserve"> two shards. </w:t>
      </w:r>
    </w:p>
    <w:p w14:paraId="762B76E2" w14:textId="1A7D1985" w:rsidR="00A10E20" w:rsidRPr="00F5103A" w:rsidRDefault="00821532" w:rsidP="000540B0">
      <w:pPr>
        <w:spacing w:after="120"/>
        <w:rPr>
          <w:sz w:val="22"/>
          <w:szCs w:val="22"/>
        </w:rPr>
      </w:pPr>
      <w:r>
        <w:rPr>
          <w:sz w:val="22"/>
          <w:szCs w:val="22"/>
        </w:rPr>
        <w:t xml:space="preserve">GSCX </w:t>
      </w:r>
      <w:r w:rsidRPr="00F5103A">
        <w:rPr>
          <w:sz w:val="22"/>
          <w:szCs w:val="22"/>
        </w:rPr>
        <w:t>mitigates</w:t>
      </w:r>
      <w:r w:rsidR="00A10E20" w:rsidRPr="00F5103A">
        <w:rPr>
          <w:sz w:val="22"/>
          <w:szCs w:val="22"/>
        </w:rPr>
        <w:t xml:space="preserve"> BMA’s primary concern</w:t>
      </w:r>
      <w:r>
        <w:rPr>
          <w:sz w:val="22"/>
          <w:szCs w:val="22"/>
        </w:rPr>
        <w:t xml:space="preserve">, </w:t>
      </w:r>
      <w:r w:rsidRPr="00F5103A">
        <w:rPr>
          <w:sz w:val="22"/>
          <w:szCs w:val="22"/>
        </w:rPr>
        <w:t>"Extraterritorial Risk"</w:t>
      </w:r>
      <w:r>
        <w:rPr>
          <w:sz w:val="22"/>
          <w:szCs w:val="22"/>
        </w:rPr>
        <w:t xml:space="preserve"> associated with </w:t>
      </w:r>
      <w:r w:rsidR="00962627">
        <w:rPr>
          <w:sz w:val="22"/>
          <w:szCs w:val="22"/>
        </w:rPr>
        <w:t>the</w:t>
      </w:r>
      <w:r w:rsidR="00A10E20" w:rsidRPr="00F5103A">
        <w:rPr>
          <w:sz w:val="22"/>
          <w:szCs w:val="22"/>
        </w:rPr>
        <w:t xml:space="preserve"> mainframe</w:t>
      </w:r>
      <w:r w:rsidR="00962627">
        <w:rPr>
          <w:sz w:val="22"/>
          <w:szCs w:val="22"/>
        </w:rPr>
        <w:t>s</w:t>
      </w:r>
      <w:r w:rsidR="00A10E20" w:rsidRPr="00F5103A">
        <w:rPr>
          <w:sz w:val="22"/>
          <w:szCs w:val="22"/>
        </w:rPr>
        <w:t xml:space="preserve"> through:</w:t>
      </w:r>
    </w:p>
    <w:p w14:paraId="7C7CBB40" w14:textId="4F0FB042" w:rsidR="00A10E20" w:rsidRPr="00F5103A" w:rsidRDefault="00A10E20" w:rsidP="000540B0">
      <w:pPr>
        <w:numPr>
          <w:ilvl w:val="0"/>
          <w:numId w:val="20"/>
        </w:numPr>
        <w:spacing w:after="120"/>
        <w:rPr>
          <w:sz w:val="22"/>
          <w:szCs w:val="22"/>
        </w:rPr>
      </w:pPr>
      <w:r w:rsidRPr="00F5103A">
        <w:rPr>
          <w:b/>
          <w:bCs/>
          <w:sz w:val="22"/>
          <w:szCs w:val="22"/>
        </w:rPr>
        <w:t>Bermuda Veto:</w:t>
      </w:r>
      <w:r w:rsidRPr="00F5103A">
        <w:rPr>
          <w:sz w:val="22"/>
          <w:szCs w:val="22"/>
        </w:rPr>
        <w:t xml:space="preserve"> One of the three MPC shards is hosted exclusively in Bermuda. Without this shard, assets cannot be moved, ensuring the Bermuda entity retains legal control even if the US</w:t>
      </w:r>
      <w:r w:rsidR="00962627">
        <w:rPr>
          <w:sz w:val="22"/>
          <w:szCs w:val="22"/>
        </w:rPr>
        <w:t xml:space="preserve"> or </w:t>
      </w:r>
      <w:r w:rsidR="008D74E7">
        <w:rPr>
          <w:sz w:val="22"/>
          <w:szCs w:val="22"/>
        </w:rPr>
        <w:t>Swiss</w:t>
      </w:r>
      <w:r w:rsidRPr="00F5103A">
        <w:rPr>
          <w:sz w:val="22"/>
          <w:szCs w:val="22"/>
        </w:rPr>
        <w:t xml:space="preserve"> site is compromised.</w:t>
      </w:r>
      <w:r w:rsidR="008D74E7">
        <w:rPr>
          <w:sz w:val="22"/>
          <w:szCs w:val="22"/>
        </w:rPr>
        <w:t xml:space="preserve"> In addition, the </w:t>
      </w:r>
      <w:r w:rsidR="008D74E7" w:rsidRPr="008D74E7">
        <w:rPr>
          <w:sz w:val="22"/>
          <w:szCs w:val="22"/>
        </w:rPr>
        <w:t>BMA-regulated entity retains the legal and technical power to protect client interests</w:t>
      </w:r>
      <w:r w:rsidR="008D74E7">
        <w:rPr>
          <w:sz w:val="22"/>
          <w:szCs w:val="22"/>
        </w:rPr>
        <w:t xml:space="preserve"> b</w:t>
      </w:r>
      <w:r w:rsidR="008D74E7" w:rsidRPr="008D74E7">
        <w:rPr>
          <w:sz w:val="22"/>
          <w:szCs w:val="22"/>
        </w:rPr>
        <w:t xml:space="preserve">y ensuring </w:t>
      </w:r>
      <w:r w:rsidR="008D74E7">
        <w:rPr>
          <w:sz w:val="22"/>
          <w:szCs w:val="22"/>
        </w:rPr>
        <w:t xml:space="preserve">that </w:t>
      </w:r>
      <w:r w:rsidR="008D74E7" w:rsidRPr="008D74E7">
        <w:rPr>
          <w:sz w:val="22"/>
          <w:szCs w:val="22"/>
        </w:rPr>
        <w:t xml:space="preserve">the </w:t>
      </w:r>
      <w:r w:rsidR="008D74E7" w:rsidRPr="008D74E7">
        <w:rPr>
          <w:b/>
          <w:bCs/>
          <w:sz w:val="22"/>
          <w:szCs w:val="22"/>
        </w:rPr>
        <w:t>Berm</w:t>
      </w:r>
      <w:r w:rsidR="004C2A38">
        <w:rPr>
          <w:b/>
          <w:bCs/>
          <w:sz w:val="22"/>
          <w:szCs w:val="22"/>
        </w:rPr>
        <w:t>u</w:t>
      </w:r>
      <w:r w:rsidR="008D74E7" w:rsidRPr="008D74E7">
        <w:rPr>
          <w:b/>
          <w:bCs/>
          <w:sz w:val="22"/>
          <w:szCs w:val="22"/>
        </w:rPr>
        <w:t>da Shard</w:t>
      </w:r>
      <w:r w:rsidR="008D74E7" w:rsidRPr="008D74E7">
        <w:rPr>
          <w:sz w:val="22"/>
          <w:szCs w:val="22"/>
        </w:rPr>
        <w:t xml:space="preserve"> is a mandatory participant in emergency recovery protocols</w:t>
      </w:r>
      <w:r w:rsidR="008D74E7">
        <w:rPr>
          <w:sz w:val="22"/>
          <w:szCs w:val="22"/>
        </w:rPr>
        <w:t xml:space="preserve">. As a result, </w:t>
      </w:r>
      <w:r w:rsidR="008D74E7" w:rsidRPr="008D74E7">
        <w:rPr>
          <w:sz w:val="22"/>
          <w:szCs w:val="22"/>
        </w:rPr>
        <w:t xml:space="preserve">GSCX grants the Bermuda entity an absolute </w:t>
      </w:r>
      <w:r w:rsidR="008D74E7" w:rsidRPr="008D74E7">
        <w:rPr>
          <w:b/>
          <w:bCs/>
          <w:sz w:val="22"/>
          <w:szCs w:val="22"/>
        </w:rPr>
        <w:t>Regulatory Veto</w:t>
      </w:r>
      <w:r w:rsidR="008D74E7" w:rsidRPr="008D74E7">
        <w:rPr>
          <w:sz w:val="22"/>
          <w:szCs w:val="22"/>
        </w:rPr>
        <w:t xml:space="preserve">. </w:t>
      </w:r>
    </w:p>
    <w:p w14:paraId="58288FE4" w14:textId="7DFCFC9A" w:rsidR="00A10E20" w:rsidRPr="00F5103A" w:rsidRDefault="00A10E20" w:rsidP="000540B0">
      <w:pPr>
        <w:numPr>
          <w:ilvl w:val="0"/>
          <w:numId w:val="20"/>
        </w:numPr>
        <w:spacing w:after="120"/>
        <w:rPr>
          <w:sz w:val="22"/>
          <w:szCs w:val="22"/>
        </w:rPr>
      </w:pPr>
      <w:r w:rsidRPr="00F5103A">
        <w:rPr>
          <w:b/>
          <w:bCs/>
          <w:sz w:val="22"/>
          <w:szCs w:val="22"/>
        </w:rPr>
        <w:t>Vendor Diversification:</w:t>
      </w:r>
      <w:r w:rsidRPr="00F5103A">
        <w:rPr>
          <w:sz w:val="22"/>
          <w:szCs w:val="22"/>
        </w:rPr>
        <w:t xml:space="preserve"> By using </w:t>
      </w:r>
      <w:r w:rsidRPr="00F5103A">
        <w:rPr>
          <w:b/>
          <w:bCs/>
          <w:sz w:val="22"/>
          <w:szCs w:val="22"/>
        </w:rPr>
        <w:t>LinuxONE (On-Prem/Colo)</w:t>
      </w:r>
      <w:r w:rsidRPr="00F5103A">
        <w:rPr>
          <w:sz w:val="22"/>
          <w:szCs w:val="22"/>
        </w:rPr>
        <w:t xml:space="preserve"> in the US</w:t>
      </w:r>
      <w:r w:rsidR="00821532">
        <w:rPr>
          <w:sz w:val="22"/>
          <w:szCs w:val="22"/>
        </w:rPr>
        <w:t>/Switzerland</w:t>
      </w:r>
      <w:r w:rsidRPr="00F5103A">
        <w:rPr>
          <w:sz w:val="22"/>
          <w:szCs w:val="22"/>
        </w:rPr>
        <w:t xml:space="preserve"> and </w:t>
      </w:r>
      <w:r w:rsidRPr="00F5103A">
        <w:rPr>
          <w:b/>
          <w:bCs/>
          <w:sz w:val="22"/>
          <w:szCs w:val="22"/>
        </w:rPr>
        <w:t>Cloud-native (Brava/Azure)</w:t>
      </w:r>
      <w:r w:rsidRPr="00F5103A">
        <w:rPr>
          <w:sz w:val="22"/>
          <w:szCs w:val="22"/>
        </w:rPr>
        <w:t xml:space="preserve"> in Bermuda, GSCX avoids systemic software failure risk.</w:t>
      </w:r>
    </w:p>
    <w:p w14:paraId="27251198" w14:textId="77777777" w:rsidR="00A10E20" w:rsidRDefault="00A10E20" w:rsidP="000540B0">
      <w:pPr>
        <w:numPr>
          <w:ilvl w:val="0"/>
          <w:numId w:val="20"/>
        </w:numPr>
        <w:spacing w:after="120"/>
        <w:rPr>
          <w:sz w:val="22"/>
          <w:szCs w:val="22"/>
        </w:rPr>
      </w:pPr>
      <w:r w:rsidRPr="00F5103A">
        <w:rPr>
          <w:b/>
          <w:bCs/>
          <w:sz w:val="22"/>
          <w:szCs w:val="22"/>
        </w:rPr>
        <w:t>BMA Access Port:</w:t>
      </w:r>
      <w:r w:rsidRPr="00F5103A">
        <w:rPr>
          <w:sz w:val="22"/>
          <w:szCs w:val="22"/>
        </w:rPr>
        <w:t xml:space="preserve"> A dedicated administrative console is maintained in Hamilton, allowing BMA inspectors to view the full custodial audit trail locally at any time.</w:t>
      </w:r>
    </w:p>
    <w:p w14:paraId="1D5085DD" w14:textId="74B92641" w:rsidR="00E70773" w:rsidRPr="000540B0" w:rsidRDefault="00E70773" w:rsidP="00E70773">
      <w:pPr>
        <w:spacing w:after="120" w:line="240" w:lineRule="auto"/>
        <w:rPr>
          <w:b/>
          <w:bCs/>
        </w:rPr>
      </w:pPr>
      <w:r w:rsidRPr="000540B0">
        <w:rPr>
          <w:b/>
          <w:bCs/>
        </w:rPr>
        <w:t>Core Architectural Narrative</w:t>
      </w:r>
    </w:p>
    <w:p w14:paraId="74586D56" w14:textId="241784B4" w:rsidR="008C2043" w:rsidRDefault="00E70773" w:rsidP="00E70773">
      <w:pPr>
        <w:spacing w:after="120" w:line="240" w:lineRule="auto"/>
        <w:rPr>
          <w:sz w:val="22"/>
          <w:szCs w:val="22"/>
        </w:rPr>
      </w:pPr>
      <w:r w:rsidRPr="00E70773">
        <w:rPr>
          <w:sz w:val="22"/>
          <w:szCs w:val="22"/>
        </w:rPr>
        <w:t xml:space="preserve">The GSCX </w:t>
      </w:r>
      <w:r w:rsidRPr="00E70773">
        <w:rPr>
          <w:b/>
          <w:bCs/>
          <w:sz w:val="22"/>
          <w:szCs w:val="22"/>
        </w:rPr>
        <w:t>Digital Asset Business (DAB)</w:t>
      </w:r>
      <w:r w:rsidRPr="00E70773">
        <w:rPr>
          <w:sz w:val="22"/>
          <w:szCs w:val="22"/>
        </w:rPr>
        <w:t xml:space="preserve"> </w:t>
      </w:r>
      <w:r w:rsidR="008C2043">
        <w:rPr>
          <w:sz w:val="22"/>
          <w:szCs w:val="22"/>
        </w:rPr>
        <w:t>division</w:t>
      </w:r>
      <w:r w:rsidRPr="00E70773">
        <w:rPr>
          <w:sz w:val="22"/>
          <w:szCs w:val="22"/>
        </w:rPr>
        <w:t xml:space="preserve"> operates </w:t>
      </w:r>
      <w:r w:rsidRPr="00E70773">
        <w:rPr>
          <w:b/>
          <w:bCs/>
          <w:sz w:val="22"/>
          <w:szCs w:val="22"/>
        </w:rPr>
        <w:t>Tri-Node</w:t>
      </w:r>
      <w:r w:rsidR="008C2043">
        <w:rPr>
          <w:b/>
          <w:bCs/>
          <w:sz w:val="22"/>
          <w:szCs w:val="22"/>
        </w:rPr>
        <w:t>, Dual-mode</w:t>
      </w:r>
      <w:r w:rsidRPr="00E70773">
        <w:rPr>
          <w:b/>
          <w:bCs/>
          <w:sz w:val="22"/>
          <w:szCs w:val="22"/>
        </w:rPr>
        <w:t xml:space="preserve"> Sovereign Infrastructure</w:t>
      </w:r>
      <w:r w:rsidRPr="00E70773">
        <w:rPr>
          <w:sz w:val="22"/>
          <w:szCs w:val="22"/>
        </w:rPr>
        <w:t xml:space="preserve">. </w:t>
      </w:r>
      <w:r w:rsidR="008C2043" w:rsidRPr="008C2043">
        <w:rPr>
          <w:sz w:val="22"/>
          <w:szCs w:val="22"/>
        </w:rPr>
        <w:t xml:space="preserve">The architecture employs a "Decoupled Logic" model to eliminate legal conflicts arising from the U.S. </w:t>
      </w:r>
      <w:r w:rsidR="004C2A38">
        <w:rPr>
          <w:sz w:val="22"/>
          <w:szCs w:val="22"/>
        </w:rPr>
        <w:t xml:space="preserve">CLOUD Act </w:t>
      </w:r>
      <w:r w:rsidR="008C2043" w:rsidRPr="008C2043">
        <w:rPr>
          <w:sz w:val="22"/>
          <w:szCs w:val="22"/>
        </w:rPr>
        <w:t>and regional privacy mandates.</w:t>
      </w:r>
    </w:p>
    <w:p w14:paraId="352C2011" w14:textId="089635E2" w:rsidR="00E70773" w:rsidRPr="00E70773" w:rsidRDefault="00E70773" w:rsidP="00E70773">
      <w:pPr>
        <w:spacing w:after="120" w:line="240" w:lineRule="auto"/>
        <w:rPr>
          <w:sz w:val="22"/>
          <w:szCs w:val="22"/>
        </w:rPr>
      </w:pPr>
      <w:r w:rsidRPr="00E70773">
        <w:rPr>
          <w:sz w:val="22"/>
          <w:szCs w:val="22"/>
        </w:rPr>
        <w:t xml:space="preserve">It leverages the hardware-level security of </w:t>
      </w:r>
      <w:r w:rsidRPr="00E70773">
        <w:rPr>
          <w:b/>
          <w:bCs/>
          <w:sz w:val="22"/>
          <w:szCs w:val="22"/>
        </w:rPr>
        <w:t>IBM Linux</w:t>
      </w:r>
      <w:r w:rsidR="008C2043">
        <w:rPr>
          <w:b/>
          <w:bCs/>
          <w:sz w:val="22"/>
          <w:szCs w:val="22"/>
        </w:rPr>
        <w:t xml:space="preserve">One </w:t>
      </w:r>
      <w:r w:rsidRPr="00E70773">
        <w:rPr>
          <w:sz w:val="22"/>
          <w:szCs w:val="22"/>
        </w:rPr>
        <w:t>and the legal neutrality of Switzerland and Bermuda to provide a non-correlated, institutional-grade custodial environment.</w:t>
      </w:r>
    </w:p>
    <w:p w14:paraId="78D6E92A" w14:textId="322EBFC2" w:rsidR="00E70773" w:rsidRPr="00EF4344" w:rsidRDefault="00E70773" w:rsidP="00E70773">
      <w:pPr>
        <w:spacing w:after="120" w:line="240" w:lineRule="auto"/>
        <w:rPr>
          <w:b/>
          <w:bCs/>
          <w:sz w:val="22"/>
          <w:szCs w:val="22"/>
        </w:rPr>
      </w:pPr>
      <w:r w:rsidRPr="00EF4344">
        <w:rPr>
          <w:b/>
          <w:bCs/>
          <w:sz w:val="22"/>
          <w:szCs w:val="22"/>
        </w:rPr>
        <w:t xml:space="preserve">1. Western </w:t>
      </w:r>
      <w:r w:rsidR="00044E54" w:rsidRPr="00EF4344">
        <w:rPr>
          <w:b/>
          <w:bCs/>
          <w:sz w:val="22"/>
          <w:szCs w:val="22"/>
        </w:rPr>
        <w:t xml:space="preserve">Hemisphere </w:t>
      </w:r>
      <w:r w:rsidRPr="00EF4344">
        <w:rPr>
          <w:b/>
          <w:bCs/>
          <w:sz w:val="22"/>
          <w:szCs w:val="22"/>
        </w:rPr>
        <w:t>Node: USA Datacenter (Americas Hub)</w:t>
      </w:r>
    </w:p>
    <w:p w14:paraId="67BBEAEA" w14:textId="77777777" w:rsidR="00E70773" w:rsidRDefault="00E70773" w:rsidP="000540B0">
      <w:pPr>
        <w:numPr>
          <w:ilvl w:val="0"/>
          <w:numId w:val="1"/>
        </w:numPr>
        <w:spacing w:after="120" w:line="240" w:lineRule="auto"/>
        <w:rPr>
          <w:sz w:val="22"/>
          <w:szCs w:val="22"/>
        </w:rPr>
      </w:pPr>
      <w:r w:rsidRPr="00E70773">
        <w:rPr>
          <w:b/>
          <w:bCs/>
          <w:sz w:val="22"/>
          <w:szCs w:val="22"/>
        </w:rPr>
        <w:t>Infrastructure:</w:t>
      </w:r>
      <w:r w:rsidRPr="00E70773">
        <w:rPr>
          <w:sz w:val="22"/>
          <w:szCs w:val="22"/>
        </w:rPr>
        <w:t xml:space="preserve"> </w:t>
      </w:r>
      <w:r w:rsidRPr="00044E54">
        <w:rPr>
          <w:b/>
          <w:bCs/>
          <w:sz w:val="22"/>
          <w:szCs w:val="22"/>
        </w:rPr>
        <w:t>IBM LinuxONE</w:t>
      </w:r>
      <w:r w:rsidRPr="00E70773">
        <w:rPr>
          <w:sz w:val="22"/>
          <w:szCs w:val="22"/>
        </w:rPr>
        <w:t xml:space="preserve"> (Sovereign-Grade).</w:t>
      </w:r>
    </w:p>
    <w:p w14:paraId="12BF78E6" w14:textId="53BECDCF" w:rsidR="008C2043" w:rsidRPr="008C2043" w:rsidRDefault="008C2043" w:rsidP="000540B0">
      <w:pPr>
        <w:pStyle w:val="NormalWeb"/>
        <w:numPr>
          <w:ilvl w:val="0"/>
          <w:numId w:val="1"/>
        </w:numPr>
        <w:spacing w:before="0" w:beforeAutospacing="0" w:after="120" w:afterAutospacing="0"/>
        <w:rPr>
          <w:rFonts w:asciiTheme="minorHAnsi" w:hAnsiTheme="minorHAnsi" w:cs="Arial"/>
          <w:sz w:val="22"/>
          <w:szCs w:val="22"/>
        </w:rPr>
      </w:pPr>
      <w:r w:rsidRPr="008C2043">
        <w:rPr>
          <w:rStyle w:val="citation-255"/>
          <w:rFonts w:asciiTheme="minorHAnsi" w:eastAsiaTheme="majorEastAsia" w:hAnsiTheme="minorHAnsi" w:cs="Arial"/>
          <w:b/>
          <w:bCs/>
          <w:sz w:val="22"/>
          <w:szCs w:val="22"/>
        </w:rPr>
        <w:t>Tier 1 (Mainframe)</w:t>
      </w:r>
      <w:r w:rsidRPr="008C2043">
        <w:rPr>
          <w:rStyle w:val="citation-255"/>
          <w:rFonts w:asciiTheme="minorHAnsi" w:eastAsiaTheme="majorEastAsia" w:hAnsiTheme="minorHAnsi" w:cs="Arial"/>
          <w:sz w:val="22"/>
          <w:szCs w:val="22"/>
        </w:rPr>
        <w:t xml:space="preserve">: IBM LinuxONE utilizing </w:t>
      </w:r>
      <w:r w:rsidRPr="008C2043">
        <w:rPr>
          <w:rStyle w:val="citation-255"/>
          <w:rFonts w:asciiTheme="minorHAnsi" w:eastAsiaTheme="majorEastAsia" w:hAnsiTheme="minorHAnsi" w:cs="Arial"/>
          <w:b/>
          <w:bCs/>
          <w:sz w:val="22"/>
          <w:szCs w:val="22"/>
        </w:rPr>
        <w:t>Secure Execution</w:t>
      </w:r>
      <w:r w:rsidRPr="008C2043">
        <w:rPr>
          <w:rStyle w:val="citation-255"/>
          <w:rFonts w:asciiTheme="minorHAnsi" w:eastAsiaTheme="majorEastAsia" w:hAnsiTheme="minorHAnsi" w:cs="Arial"/>
          <w:sz w:val="22"/>
          <w:szCs w:val="22"/>
        </w:rPr>
        <w:t xml:space="preserve"> and </w:t>
      </w:r>
      <w:r w:rsidRPr="008C2043">
        <w:rPr>
          <w:rStyle w:val="citation-255"/>
          <w:rFonts w:asciiTheme="minorHAnsi" w:eastAsiaTheme="majorEastAsia" w:hAnsiTheme="minorHAnsi" w:cs="Arial"/>
          <w:b/>
          <w:bCs/>
          <w:sz w:val="22"/>
          <w:szCs w:val="22"/>
        </w:rPr>
        <w:t>HSMs</w:t>
      </w:r>
      <w:r w:rsidRPr="008C2043">
        <w:rPr>
          <w:rStyle w:val="citation-255"/>
          <w:rFonts w:asciiTheme="minorHAnsi" w:eastAsiaTheme="majorEastAsia" w:hAnsiTheme="minorHAnsi" w:cs="Arial"/>
          <w:sz w:val="22"/>
          <w:szCs w:val="22"/>
        </w:rPr>
        <w:t xml:space="preserve"> to isolate North American sovereign/military-grade data at the hardware level. </w:t>
      </w:r>
    </w:p>
    <w:p w14:paraId="14F71D03" w14:textId="1F600B61" w:rsidR="008C2043" w:rsidRPr="008C2043" w:rsidRDefault="008C2043" w:rsidP="000540B0">
      <w:pPr>
        <w:pStyle w:val="NormalWeb"/>
        <w:numPr>
          <w:ilvl w:val="0"/>
          <w:numId w:val="1"/>
        </w:numPr>
        <w:spacing w:before="0" w:beforeAutospacing="0" w:after="120" w:afterAutospacing="0"/>
        <w:rPr>
          <w:rFonts w:asciiTheme="minorHAnsi" w:hAnsiTheme="minorHAnsi" w:cs="Arial"/>
          <w:sz w:val="22"/>
          <w:szCs w:val="22"/>
        </w:rPr>
      </w:pPr>
      <w:r w:rsidRPr="008C2043">
        <w:rPr>
          <w:rStyle w:val="citation-254"/>
          <w:rFonts w:asciiTheme="minorHAnsi" w:eastAsiaTheme="majorEastAsia" w:hAnsiTheme="minorHAnsi" w:cs="Arial"/>
          <w:b/>
          <w:bCs/>
          <w:sz w:val="22"/>
          <w:szCs w:val="22"/>
        </w:rPr>
        <w:t>Tier 2 (Cloud)</w:t>
      </w:r>
      <w:r w:rsidRPr="008C2043">
        <w:rPr>
          <w:rStyle w:val="citation-254"/>
          <w:rFonts w:asciiTheme="minorHAnsi" w:eastAsiaTheme="majorEastAsia" w:hAnsiTheme="minorHAnsi" w:cs="Arial"/>
          <w:sz w:val="22"/>
          <w:szCs w:val="22"/>
        </w:rPr>
        <w:t xml:space="preserve">: Enterprise Cloud instances for North and South American general institutional clients. </w:t>
      </w:r>
    </w:p>
    <w:p w14:paraId="2F2FFA2F" w14:textId="77777777" w:rsidR="00E70773" w:rsidRPr="00E70773" w:rsidRDefault="00E70773" w:rsidP="000540B0">
      <w:pPr>
        <w:numPr>
          <w:ilvl w:val="0"/>
          <w:numId w:val="1"/>
        </w:numPr>
        <w:spacing w:after="120" w:line="240" w:lineRule="auto"/>
        <w:rPr>
          <w:sz w:val="22"/>
          <w:szCs w:val="22"/>
        </w:rPr>
      </w:pPr>
      <w:r w:rsidRPr="00E70773">
        <w:rPr>
          <w:b/>
          <w:bCs/>
          <w:sz w:val="22"/>
          <w:szCs w:val="22"/>
        </w:rPr>
        <w:t>Jurisdiction:</w:t>
      </w:r>
      <w:r w:rsidRPr="00E70773">
        <w:rPr>
          <w:sz w:val="22"/>
          <w:szCs w:val="22"/>
        </w:rPr>
        <w:t xml:space="preserve"> US Federal Law.</w:t>
      </w:r>
    </w:p>
    <w:p w14:paraId="5E9DBB7B" w14:textId="6A873CB7" w:rsidR="00E70773" w:rsidRPr="00E70773" w:rsidRDefault="00044E54" w:rsidP="000540B0">
      <w:pPr>
        <w:numPr>
          <w:ilvl w:val="0"/>
          <w:numId w:val="1"/>
        </w:numPr>
        <w:spacing w:after="120" w:line="240" w:lineRule="auto"/>
        <w:rPr>
          <w:sz w:val="22"/>
          <w:szCs w:val="22"/>
        </w:rPr>
      </w:pPr>
      <w:r>
        <w:rPr>
          <w:b/>
          <w:bCs/>
          <w:sz w:val="22"/>
          <w:szCs w:val="22"/>
        </w:rPr>
        <w:lastRenderedPageBreak/>
        <w:t xml:space="preserve">Primary </w:t>
      </w:r>
      <w:r w:rsidR="00E70773" w:rsidRPr="00E70773">
        <w:rPr>
          <w:b/>
          <w:bCs/>
          <w:sz w:val="22"/>
          <w:szCs w:val="22"/>
        </w:rPr>
        <w:t>Scope:</w:t>
      </w:r>
      <w:r w:rsidR="00E70773" w:rsidRPr="00E70773">
        <w:rPr>
          <w:sz w:val="22"/>
          <w:szCs w:val="22"/>
        </w:rPr>
        <w:t xml:space="preserve"> Primary compute for North and South American participants.</w:t>
      </w:r>
    </w:p>
    <w:p w14:paraId="158CC7F2" w14:textId="6DD1EF50" w:rsidR="008C2043" w:rsidRPr="00044E54" w:rsidRDefault="00E70773" w:rsidP="000540B0">
      <w:pPr>
        <w:numPr>
          <w:ilvl w:val="0"/>
          <w:numId w:val="1"/>
        </w:numPr>
        <w:spacing w:after="120" w:line="240" w:lineRule="auto"/>
        <w:rPr>
          <w:sz w:val="22"/>
          <w:szCs w:val="22"/>
        </w:rPr>
      </w:pPr>
      <w:r w:rsidRPr="00E70773">
        <w:rPr>
          <w:b/>
          <w:bCs/>
          <w:sz w:val="22"/>
          <w:szCs w:val="22"/>
        </w:rPr>
        <w:t>Security:</w:t>
      </w:r>
      <w:r w:rsidRPr="00E70773">
        <w:rPr>
          <w:sz w:val="22"/>
          <w:szCs w:val="22"/>
        </w:rPr>
        <w:t xml:space="preserve"> Utilizes </w:t>
      </w:r>
      <w:r w:rsidRPr="00E70773">
        <w:rPr>
          <w:b/>
          <w:bCs/>
          <w:sz w:val="22"/>
          <w:szCs w:val="22"/>
        </w:rPr>
        <w:t>IBM Secure Execution</w:t>
      </w:r>
      <w:r w:rsidRPr="00E70773">
        <w:rPr>
          <w:sz w:val="22"/>
          <w:szCs w:val="22"/>
        </w:rPr>
        <w:t xml:space="preserve"> to create Trusted Execution Environments (TEEs) for private key generation, ensuring data is isolated from administrative access at the hardware level.</w:t>
      </w:r>
    </w:p>
    <w:p w14:paraId="611127EE" w14:textId="54253352" w:rsidR="00E70773" w:rsidRPr="00EF4344" w:rsidRDefault="00E70773" w:rsidP="00E70773">
      <w:pPr>
        <w:spacing w:after="120" w:line="240" w:lineRule="auto"/>
        <w:rPr>
          <w:b/>
          <w:bCs/>
          <w:sz w:val="22"/>
          <w:szCs w:val="22"/>
        </w:rPr>
      </w:pPr>
      <w:r w:rsidRPr="00EF4344">
        <w:rPr>
          <w:b/>
          <w:bCs/>
          <w:sz w:val="22"/>
          <w:szCs w:val="22"/>
        </w:rPr>
        <w:t xml:space="preserve">2. Eastern </w:t>
      </w:r>
      <w:r w:rsidR="00044E54" w:rsidRPr="00EF4344">
        <w:rPr>
          <w:b/>
          <w:bCs/>
          <w:sz w:val="22"/>
          <w:szCs w:val="22"/>
        </w:rPr>
        <w:t xml:space="preserve">Hemisphere </w:t>
      </w:r>
      <w:r w:rsidRPr="00EF4344">
        <w:rPr>
          <w:b/>
          <w:bCs/>
          <w:sz w:val="22"/>
          <w:szCs w:val="22"/>
        </w:rPr>
        <w:t>Node: Switzerland Datacenter (EMEA &amp; APAC Hub)</w:t>
      </w:r>
    </w:p>
    <w:p w14:paraId="6A35BA89" w14:textId="77777777" w:rsidR="00E70773" w:rsidRDefault="00E70773" w:rsidP="000540B0">
      <w:pPr>
        <w:numPr>
          <w:ilvl w:val="0"/>
          <w:numId w:val="2"/>
        </w:numPr>
        <w:spacing w:after="120" w:line="240" w:lineRule="auto"/>
        <w:rPr>
          <w:sz w:val="22"/>
          <w:szCs w:val="22"/>
        </w:rPr>
      </w:pPr>
      <w:r w:rsidRPr="00E70773">
        <w:rPr>
          <w:b/>
          <w:bCs/>
          <w:sz w:val="22"/>
          <w:szCs w:val="22"/>
        </w:rPr>
        <w:t>Infrastructure:</w:t>
      </w:r>
      <w:r w:rsidRPr="00E70773">
        <w:rPr>
          <w:sz w:val="22"/>
          <w:szCs w:val="22"/>
        </w:rPr>
        <w:t xml:space="preserve"> IBM LinuxONE (Sovereign-Grade).</w:t>
      </w:r>
    </w:p>
    <w:p w14:paraId="70A3D3DA" w14:textId="1E885B82" w:rsidR="00044E54" w:rsidRPr="00044E54" w:rsidRDefault="00044E54" w:rsidP="000540B0">
      <w:pPr>
        <w:pStyle w:val="NormalWeb"/>
        <w:numPr>
          <w:ilvl w:val="0"/>
          <w:numId w:val="2"/>
        </w:numPr>
        <w:spacing w:before="0" w:beforeAutospacing="0" w:after="120" w:afterAutospacing="0"/>
        <w:rPr>
          <w:rFonts w:asciiTheme="minorHAnsi" w:hAnsiTheme="minorHAnsi" w:cs="Arial"/>
          <w:sz w:val="22"/>
          <w:szCs w:val="22"/>
        </w:rPr>
      </w:pPr>
      <w:r w:rsidRPr="00044E54">
        <w:rPr>
          <w:rStyle w:val="citation-252"/>
          <w:rFonts w:asciiTheme="minorHAnsi" w:eastAsiaTheme="majorEastAsia" w:hAnsiTheme="minorHAnsi" w:cs="Arial"/>
          <w:b/>
          <w:bCs/>
          <w:sz w:val="22"/>
          <w:szCs w:val="22"/>
        </w:rPr>
        <w:t>Tier 1 (Mainframe)</w:t>
      </w:r>
      <w:r w:rsidRPr="00044E54">
        <w:rPr>
          <w:rStyle w:val="citation-252"/>
          <w:rFonts w:asciiTheme="minorHAnsi" w:eastAsiaTheme="majorEastAsia" w:hAnsiTheme="minorHAnsi" w:cs="Arial"/>
          <w:sz w:val="22"/>
          <w:szCs w:val="22"/>
        </w:rPr>
        <w:t xml:space="preserve">: IBM LinuxONE serving as the </w:t>
      </w:r>
      <w:r w:rsidRPr="00044E54">
        <w:rPr>
          <w:rStyle w:val="citation-252"/>
          <w:rFonts w:asciiTheme="minorHAnsi" w:eastAsiaTheme="majorEastAsia" w:hAnsiTheme="minorHAnsi" w:cs="Arial"/>
          <w:b/>
          <w:bCs/>
          <w:sz w:val="22"/>
          <w:szCs w:val="22"/>
        </w:rPr>
        <w:t>Primary Hub</w:t>
      </w:r>
      <w:r w:rsidRPr="00044E54">
        <w:rPr>
          <w:rStyle w:val="citation-252"/>
          <w:rFonts w:asciiTheme="minorHAnsi" w:eastAsiaTheme="majorEastAsia" w:hAnsiTheme="minorHAnsi" w:cs="Arial"/>
          <w:sz w:val="22"/>
          <w:szCs w:val="22"/>
        </w:rPr>
        <w:t xml:space="preserve"> for </w:t>
      </w:r>
      <w:r w:rsidR="00EF4344">
        <w:rPr>
          <w:rStyle w:val="citation-252"/>
          <w:rFonts w:asciiTheme="minorHAnsi" w:eastAsiaTheme="majorEastAsia" w:hAnsiTheme="minorHAnsi" w:cs="Arial"/>
          <w:sz w:val="22"/>
          <w:szCs w:val="22"/>
        </w:rPr>
        <w:t xml:space="preserve">the countries of the Eastern hemisphere and other </w:t>
      </w:r>
      <w:r w:rsidRPr="00044E54">
        <w:rPr>
          <w:rStyle w:val="citation-252"/>
          <w:rFonts w:asciiTheme="minorHAnsi" w:eastAsiaTheme="majorEastAsia" w:hAnsiTheme="minorHAnsi" w:cs="Arial"/>
          <w:sz w:val="22"/>
          <w:szCs w:val="22"/>
        </w:rPr>
        <w:t xml:space="preserve">participants sensitive to U.S. judicial overreach. </w:t>
      </w:r>
    </w:p>
    <w:p w14:paraId="5D735BBF" w14:textId="0C3F6F87" w:rsidR="00044E54" w:rsidRPr="00044E54" w:rsidRDefault="00044E54" w:rsidP="000540B0">
      <w:pPr>
        <w:pStyle w:val="NormalWeb"/>
        <w:numPr>
          <w:ilvl w:val="0"/>
          <w:numId w:val="2"/>
        </w:numPr>
        <w:spacing w:before="0" w:beforeAutospacing="0" w:after="120" w:afterAutospacing="0"/>
        <w:rPr>
          <w:rFonts w:asciiTheme="minorHAnsi" w:hAnsiTheme="minorHAnsi" w:cs="Arial"/>
          <w:sz w:val="22"/>
          <w:szCs w:val="22"/>
        </w:rPr>
      </w:pPr>
      <w:r w:rsidRPr="00044E54">
        <w:rPr>
          <w:rStyle w:val="citation-251"/>
          <w:rFonts w:asciiTheme="minorHAnsi" w:eastAsiaTheme="majorEastAsia" w:hAnsiTheme="minorHAnsi" w:cs="Arial"/>
          <w:b/>
          <w:bCs/>
          <w:sz w:val="22"/>
          <w:szCs w:val="22"/>
        </w:rPr>
        <w:t>Tier 2 (Cloud)</w:t>
      </w:r>
      <w:r w:rsidRPr="00044E54">
        <w:rPr>
          <w:rStyle w:val="citation-251"/>
          <w:rFonts w:asciiTheme="minorHAnsi" w:eastAsiaTheme="majorEastAsia" w:hAnsiTheme="minorHAnsi" w:cs="Arial"/>
          <w:sz w:val="22"/>
          <w:szCs w:val="22"/>
        </w:rPr>
        <w:t>: Secure Swiss Cloud instances for general international funds.</w:t>
      </w:r>
    </w:p>
    <w:p w14:paraId="2A421B3F" w14:textId="77777777" w:rsidR="00E70773" w:rsidRPr="00E70773" w:rsidRDefault="00E70773" w:rsidP="000540B0">
      <w:pPr>
        <w:numPr>
          <w:ilvl w:val="0"/>
          <w:numId w:val="2"/>
        </w:numPr>
        <w:spacing w:after="120" w:line="240" w:lineRule="auto"/>
        <w:rPr>
          <w:sz w:val="22"/>
          <w:szCs w:val="22"/>
        </w:rPr>
      </w:pPr>
      <w:r w:rsidRPr="00E70773">
        <w:rPr>
          <w:b/>
          <w:bCs/>
          <w:sz w:val="22"/>
          <w:szCs w:val="22"/>
        </w:rPr>
        <w:t>Jurisdiction:</w:t>
      </w:r>
      <w:r w:rsidRPr="00E70773">
        <w:rPr>
          <w:sz w:val="22"/>
          <w:szCs w:val="22"/>
        </w:rPr>
        <w:t xml:space="preserve"> Swiss Federal Act on Data Protection (FADP).</w:t>
      </w:r>
    </w:p>
    <w:p w14:paraId="451C14EE" w14:textId="595068AA" w:rsidR="00E70773" w:rsidRPr="00E70773" w:rsidRDefault="00044E54" w:rsidP="000540B0">
      <w:pPr>
        <w:numPr>
          <w:ilvl w:val="0"/>
          <w:numId w:val="2"/>
        </w:numPr>
        <w:spacing w:after="120" w:line="240" w:lineRule="auto"/>
        <w:rPr>
          <w:sz w:val="22"/>
          <w:szCs w:val="22"/>
        </w:rPr>
      </w:pPr>
      <w:r>
        <w:rPr>
          <w:b/>
          <w:bCs/>
          <w:sz w:val="22"/>
          <w:szCs w:val="22"/>
        </w:rPr>
        <w:t xml:space="preserve">Primary </w:t>
      </w:r>
      <w:r w:rsidR="00E70773" w:rsidRPr="00E70773">
        <w:rPr>
          <w:b/>
          <w:bCs/>
          <w:sz w:val="22"/>
          <w:szCs w:val="22"/>
        </w:rPr>
        <w:t>Scope:</w:t>
      </w:r>
      <w:r w:rsidR="00E70773" w:rsidRPr="00E70773">
        <w:rPr>
          <w:sz w:val="22"/>
          <w:szCs w:val="22"/>
        </w:rPr>
        <w:t xml:space="preserve"> Serves European, Middle Eastern (including ADGM participants), African, and Asian clientele.</w:t>
      </w:r>
    </w:p>
    <w:p w14:paraId="615BCE84" w14:textId="77777777" w:rsidR="00E70773" w:rsidRPr="00E70773" w:rsidRDefault="00E70773" w:rsidP="000540B0">
      <w:pPr>
        <w:numPr>
          <w:ilvl w:val="0"/>
          <w:numId w:val="2"/>
        </w:numPr>
        <w:spacing w:after="120" w:line="240" w:lineRule="auto"/>
        <w:rPr>
          <w:sz w:val="22"/>
          <w:szCs w:val="22"/>
        </w:rPr>
      </w:pPr>
      <w:r w:rsidRPr="00E70773">
        <w:rPr>
          <w:b/>
          <w:bCs/>
          <w:sz w:val="22"/>
          <w:szCs w:val="22"/>
        </w:rPr>
        <w:t>Strategic Neutrality:</w:t>
      </w:r>
      <w:r w:rsidRPr="00E70773">
        <w:rPr>
          <w:sz w:val="22"/>
          <w:szCs w:val="22"/>
        </w:rPr>
        <w:t xml:space="preserve"> Acts as the primary jurisdictional shield for non-US participants, ensuring that sensitive financial metadata remains outside the reach of the US CLOUD Act.</w:t>
      </w:r>
    </w:p>
    <w:p w14:paraId="1A0E98EA" w14:textId="64B6CEB7" w:rsidR="00E70773" w:rsidRPr="00EF4344" w:rsidRDefault="00E70773" w:rsidP="00E70773">
      <w:pPr>
        <w:spacing w:after="120" w:line="240" w:lineRule="auto"/>
        <w:rPr>
          <w:b/>
          <w:bCs/>
          <w:sz w:val="22"/>
          <w:szCs w:val="22"/>
        </w:rPr>
      </w:pPr>
      <w:r w:rsidRPr="00EF4344">
        <w:rPr>
          <w:b/>
          <w:bCs/>
          <w:sz w:val="22"/>
          <w:szCs w:val="22"/>
        </w:rPr>
        <w:t>3. Resilience Anchor: Bermuda Cloud (BMA Nexus)</w:t>
      </w:r>
    </w:p>
    <w:p w14:paraId="3D0CFF42" w14:textId="77777777" w:rsidR="00E70773" w:rsidRPr="00E70773" w:rsidRDefault="00E70773" w:rsidP="000540B0">
      <w:pPr>
        <w:numPr>
          <w:ilvl w:val="0"/>
          <w:numId w:val="3"/>
        </w:numPr>
        <w:spacing w:after="120" w:line="240" w:lineRule="auto"/>
        <w:rPr>
          <w:sz w:val="22"/>
          <w:szCs w:val="22"/>
        </w:rPr>
      </w:pPr>
      <w:r w:rsidRPr="00E70773">
        <w:rPr>
          <w:b/>
          <w:bCs/>
          <w:sz w:val="22"/>
          <w:szCs w:val="22"/>
        </w:rPr>
        <w:t>Infrastructure:</w:t>
      </w:r>
      <w:r w:rsidRPr="00E70773">
        <w:rPr>
          <w:sz w:val="22"/>
          <w:szCs w:val="22"/>
        </w:rPr>
        <w:t xml:space="preserve"> BMA-acceptable localized cloud.</w:t>
      </w:r>
    </w:p>
    <w:p w14:paraId="36A94DEF" w14:textId="77777777" w:rsidR="00E70773" w:rsidRPr="00E70773" w:rsidRDefault="00E70773" w:rsidP="000540B0">
      <w:pPr>
        <w:numPr>
          <w:ilvl w:val="0"/>
          <w:numId w:val="3"/>
        </w:numPr>
        <w:spacing w:after="120" w:line="240" w:lineRule="auto"/>
        <w:rPr>
          <w:sz w:val="22"/>
          <w:szCs w:val="22"/>
        </w:rPr>
      </w:pPr>
      <w:r w:rsidRPr="00E70773">
        <w:rPr>
          <w:b/>
          <w:bCs/>
          <w:sz w:val="22"/>
          <w:szCs w:val="22"/>
        </w:rPr>
        <w:t>Jurisdiction:</w:t>
      </w:r>
      <w:r w:rsidRPr="00E70773">
        <w:rPr>
          <w:sz w:val="22"/>
          <w:szCs w:val="22"/>
        </w:rPr>
        <w:t xml:space="preserve"> Bermuda DAB Act &amp; BMA Insurance Code of Conduct.</w:t>
      </w:r>
    </w:p>
    <w:p w14:paraId="181FA431" w14:textId="5CF14CB2" w:rsidR="00E70773" w:rsidRDefault="00E70773" w:rsidP="000540B0">
      <w:pPr>
        <w:numPr>
          <w:ilvl w:val="0"/>
          <w:numId w:val="3"/>
        </w:numPr>
        <w:spacing w:after="120" w:line="240" w:lineRule="auto"/>
      </w:pPr>
      <w:r w:rsidRPr="00E70773">
        <w:rPr>
          <w:b/>
          <w:bCs/>
          <w:sz w:val="22"/>
          <w:szCs w:val="22"/>
        </w:rPr>
        <w:t>Function:</w:t>
      </w:r>
      <w:r w:rsidRPr="00E70773">
        <w:rPr>
          <w:sz w:val="22"/>
          <w:szCs w:val="22"/>
        </w:rPr>
        <w:t xml:space="preserve"> Real-time state synchronization and </w:t>
      </w:r>
      <w:r w:rsidRPr="00E70773">
        <w:rPr>
          <w:b/>
          <w:bCs/>
          <w:sz w:val="22"/>
          <w:szCs w:val="22"/>
        </w:rPr>
        <w:t>Legal Heartbeat</w:t>
      </w:r>
      <w:r w:rsidRPr="00E70773">
        <w:rPr>
          <w:sz w:val="22"/>
          <w:szCs w:val="22"/>
        </w:rPr>
        <w:t>. This node holds the "Global State" of the ledger without holding the sharded private keys, allowing the BMA to audit</w:t>
      </w:r>
      <w:r w:rsidRPr="00E70773">
        <w:t xml:space="preserve"> solvency without compromising client privacy</w:t>
      </w:r>
      <w:r w:rsidR="00044E54">
        <w:t xml:space="preserve">, and </w:t>
      </w:r>
      <w:r w:rsidR="00044E54" w:rsidRPr="00044E54">
        <w:t xml:space="preserve">ensures "Mind and Management" </w:t>
      </w:r>
      <w:r w:rsidR="00137BA4">
        <w:t>remains</w:t>
      </w:r>
      <w:r w:rsidR="00044E54" w:rsidRPr="00044E54">
        <w:t xml:space="preserve"> in Bermuda to satisfy </w:t>
      </w:r>
      <w:r w:rsidR="00044E54" w:rsidRPr="00044E54">
        <w:rPr>
          <w:b/>
          <w:bCs/>
        </w:rPr>
        <w:t>DAB</w:t>
      </w:r>
      <w:r w:rsidR="00044E54" w:rsidRPr="00044E54">
        <w:t xml:space="preserve"> licensing</w:t>
      </w:r>
      <w:r w:rsidR="00044E54">
        <w:t xml:space="preserve"> requirements.</w:t>
      </w:r>
    </w:p>
    <w:p w14:paraId="14437497" w14:textId="5C611B82" w:rsidR="00E70773" w:rsidRPr="00E70773" w:rsidRDefault="00E70773" w:rsidP="00E70773">
      <w:pPr>
        <w:spacing w:after="120" w:line="240" w:lineRule="auto"/>
        <w:rPr>
          <w:b/>
          <w:bCs/>
        </w:rPr>
      </w:pPr>
      <w:r w:rsidRPr="00E70773">
        <w:rPr>
          <w:b/>
          <w:bCs/>
        </w:rPr>
        <w:t>Disaster Recovery (DR) Protocols: The "Triple-Lock" System</w:t>
      </w:r>
    </w:p>
    <w:p w14:paraId="7ADC6F56" w14:textId="59E315D3" w:rsidR="00E70773" w:rsidRPr="00E70773" w:rsidRDefault="00E70773" w:rsidP="00E70773">
      <w:pPr>
        <w:spacing w:after="120" w:line="240" w:lineRule="auto"/>
        <w:rPr>
          <w:sz w:val="22"/>
          <w:szCs w:val="22"/>
        </w:rPr>
      </w:pPr>
      <w:r w:rsidRPr="00E70773">
        <w:rPr>
          <w:sz w:val="22"/>
          <w:szCs w:val="22"/>
        </w:rPr>
        <w:t xml:space="preserve">To satisfy the </w:t>
      </w:r>
      <w:r w:rsidRPr="00E70773">
        <w:rPr>
          <w:b/>
          <w:bCs/>
          <w:sz w:val="22"/>
          <w:szCs w:val="22"/>
        </w:rPr>
        <w:t>BMA’s Operational Resilience</w:t>
      </w:r>
      <w:r w:rsidRPr="00E70773">
        <w:rPr>
          <w:sz w:val="22"/>
          <w:szCs w:val="22"/>
        </w:rPr>
        <w:t xml:space="preserve"> standards and </w:t>
      </w:r>
      <w:r w:rsidRPr="00E70773">
        <w:rPr>
          <w:b/>
          <w:bCs/>
          <w:sz w:val="22"/>
          <w:szCs w:val="22"/>
        </w:rPr>
        <w:t>ADGM’s Rulebook (MIR)</w:t>
      </w:r>
      <w:r w:rsidRPr="00E70773">
        <w:rPr>
          <w:sz w:val="22"/>
          <w:szCs w:val="22"/>
        </w:rPr>
        <w:t xml:space="preserve">, GSCX </w:t>
      </w:r>
      <w:r w:rsidR="00044E54">
        <w:rPr>
          <w:sz w:val="22"/>
          <w:szCs w:val="22"/>
        </w:rPr>
        <w:t xml:space="preserve">aims to </w:t>
      </w:r>
      <w:r w:rsidRPr="00E70773">
        <w:rPr>
          <w:sz w:val="22"/>
          <w:szCs w:val="22"/>
        </w:rPr>
        <w:t>implement a tiered DR strategy that ensures 99.999% availability of custodial services.</w:t>
      </w:r>
    </w:p>
    <w:p w14:paraId="75A83611" w14:textId="77777777" w:rsidR="00E70773" w:rsidRPr="00EF4344" w:rsidRDefault="00E70773" w:rsidP="00E70773">
      <w:pPr>
        <w:spacing w:after="120" w:line="240" w:lineRule="auto"/>
        <w:rPr>
          <w:b/>
          <w:bCs/>
          <w:sz w:val="22"/>
          <w:szCs w:val="22"/>
        </w:rPr>
      </w:pPr>
      <w:r w:rsidRPr="00EF4344">
        <w:rPr>
          <w:b/>
          <w:bCs/>
          <w:sz w:val="22"/>
          <w:szCs w:val="22"/>
        </w:rPr>
        <w:t>1. Cross-Jurisdictional Failover (Hot-Swap)</w:t>
      </w:r>
    </w:p>
    <w:p w14:paraId="512F25E2" w14:textId="6CD3B1BC" w:rsidR="00E70773" w:rsidRPr="00E70773" w:rsidRDefault="00E70773" w:rsidP="00E70773">
      <w:pPr>
        <w:spacing w:after="120" w:line="240" w:lineRule="auto"/>
        <w:rPr>
          <w:sz w:val="22"/>
          <w:szCs w:val="22"/>
        </w:rPr>
      </w:pPr>
      <w:r w:rsidRPr="00E70773">
        <w:rPr>
          <w:sz w:val="22"/>
          <w:szCs w:val="22"/>
        </w:rPr>
        <w:t xml:space="preserve">In the event of a total regional outage (e.g., a natural disaster in the US node), the </w:t>
      </w:r>
      <w:r w:rsidR="00044E54">
        <w:rPr>
          <w:b/>
          <w:bCs/>
          <w:sz w:val="22"/>
          <w:szCs w:val="22"/>
        </w:rPr>
        <w:t>system</w:t>
      </w:r>
      <w:r w:rsidRPr="00E70773">
        <w:rPr>
          <w:sz w:val="22"/>
          <w:szCs w:val="22"/>
        </w:rPr>
        <w:t xml:space="preserve"> triggers a "Hot-Swap" to the Switzerland node.</w:t>
      </w:r>
    </w:p>
    <w:p w14:paraId="18CD24BF" w14:textId="77777777" w:rsidR="00E70773" w:rsidRPr="00E70773" w:rsidRDefault="00E70773" w:rsidP="00E70773">
      <w:pPr>
        <w:numPr>
          <w:ilvl w:val="0"/>
          <w:numId w:val="4"/>
        </w:numPr>
        <w:spacing w:after="120" w:line="240" w:lineRule="auto"/>
        <w:rPr>
          <w:sz w:val="22"/>
          <w:szCs w:val="22"/>
        </w:rPr>
      </w:pPr>
      <w:r w:rsidRPr="00E70773">
        <w:rPr>
          <w:b/>
          <w:bCs/>
          <w:sz w:val="22"/>
          <w:szCs w:val="22"/>
        </w:rPr>
        <w:t>RPO (Recovery Point Objective):</w:t>
      </w:r>
      <w:r w:rsidRPr="00E70773">
        <w:rPr>
          <w:sz w:val="22"/>
          <w:szCs w:val="22"/>
        </w:rPr>
        <w:t xml:space="preserve"> &lt; 5 seconds. Metadata is continuously synced across LinuxONE nodes via encrypted tunnels.</w:t>
      </w:r>
    </w:p>
    <w:p w14:paraId="11077E78" w14:textId="77777777" w:rsidR="00E70773" w:rsidRPr="00E70773" w:rsidRDefault="00E70773" w:rsidP="00E70773">
      <w:pPr>
        <w:numPr>
          <w:ilvl w:val="0"/>
          <w:numId w:val="4"/>
        </w:numPr>
        <w:spacing w:after="120" w:line="240" w:lineRule="auto"/>
        <w:rPr>
          <w:sz w:val="22"/>
          <w:szCs w:val="22"/>
        </w:rPr>
      </w:pPr>
      <w:r w:rsidRPr="00E70773">
        <w:rPr>
          <w:b/>
          <w:bCs/>
          <w:sz w:val="22"/>
          <w:szCs w:val="22"/>
        </w:rPr>
        <w:t>RTO (Recovery Time Objective):</w:t>
      </w:r>
      <w:r w:rsidRPr="00E70773">
        <w:rPr>
          <w:sz w:val="22"/>
          <w:szCs w:val="22"/>
        </w:rPr>
        <w:t xml:space="preserve"> &lt; 2 minutes. The Bermuda Cloud directs all Americas-bound traffic to the Swiss node, which assumes the processing load until the US node is restored.</w:t>
      </w:r>
    </w:p>
    <w:p w14:paraId="678B7538" w14:textId="5440662B" w:rsidR="00E70773" w:rsidRPr="003A1000" w:rsidRDefault="00E70773" w:rsidP="00E70773">
      <w:pPr>
        <w:spacing w:after="120" w:line="240" w:lineRule="auto"/>
        <w:rPr>
          <w:b/>
          <w:bCs/>
          <w:sz w:val="22"/>
          <w:szCs w:val="22"/>
        </w:rPr>
      </w:pPr>
      <w:r w:rsidRPr="003A1000">
        <w:rPr>
          <w:b/>
          <w:bCs/>
          <w:sz w:val="22"/>
          <w:szCs w:val="22"/>
        </w:rPr>
        <w:t>2. "Bermuda Air-Gap" Protocol</w:t>
      </w:r>
    </w:p>
    <w:p w14:paraId="6C1CC4F3" w14:textId="77777777" w:rsidR="00E70773" w:rsidRPr="00E70773" w:rsidRDefault="00E70773" w:rsidP="00E70773">
      <w:pPr>
        <w:spacing w:after="120" w:line="240" w:lineRule="auto"/>
        <w:rPr>
          <w:sz w:val="22"/>
          <w:szCs w:val="22"/>
        </w:rPr>
      </w:pPr>
      <w:r w:rsidRPr="00E70773">
        <w:rPr>
          <w:sz w:val="22"/>
          <w:szCs w:val="22"/>
        </w:rPr>
        <w:t xml:space="preserve">If both the USA and Switzerland nodes are compromised (e.g., a global backbone failure), the </w:t>
      </w:r>
      <w:r w:rsidRPr="00E70773">
        <w:rPr>
          <w:b/>
          <w:bCs/>
          <w:sz w:val="22"/>
          <w:szCs w:val="22"/>
        </w:rPr>
        <w:t>Bermuda Cloud</w:t>
      </w:r>
      <w:r w:rsidRPr="00E70773">
        <w:rPr>
          <w:sz w:val="22"/>
          <w:szCs w:val="22"/>
        </w:rPr>
        <w:t xml:space="preserve"> enters "Standalone Mode."</w:t>
      </w:r>
    </w:p>
    <w:p w14:paraId="78282128" w14:textId="6F34117F" w:rsidR="00C27AE8" w:rsidRPr="007C2C6E" w:rsidRDefault="00E70773" w:rsidP="007C2C6E">
      <w:pPr>
        <w:numPr>
          <w:ilvl w:val="0"/>
          <w:numId w:val="5"/>
        </w:numPr>
        <w:spacing w:after="120" w:line="240" w:lineRule="auto"/>
        <w:rPr>
          <w:sz w:val="22"/>
          <w:szCs w:val="22"/>
        </w:rPr>
      </w:pPr>
      <w:r w:rsidRPr="00E70773">
        <w:rPr>
          <w:b/>
          <w:bCs/>
          <w:sz w:val="22"/>
          <w:szCs w:val="22"/>
        </w:rPr>
        <w:t>Protocol:</w:t>
      </w:r>
      <w:r w:rsidRPr="00E70773">
        <w:rPr>
          <w:sz w:val="22"/>
          <w:szCs w:val="22"/>
        </w:rPr>
        <w:t xml:space="preserve"> The Bermuda node locks the current state of all custodial wallets. While high-frequency trading is paused, the BMA node allows for "Emergency Withdrawals" using pre-sharded backup keys stored in physical Swiss/Bermuda vaults.</w:t>
      </w:r>
    </w:p>
    <w:p w14:paraId="2BCB356F" w14:textId="77777777" w:rsidR="00E70773" w:rsidRPr="003A1000" w:rsidRDefault="00E70773" w:rsidP="00E70773">
      <w:pPr>
        <w:spacing w:after="120" w:line="240" w:lineRule="auto"/>
        <w:rPr>
          <w:b/>
          <w:bCs/>
          <w:sz w:val="22"/>
          <w:szCs w:val="22"/>
        </w:rPr>
      </w:pPr>
      <w:r w:rsidRPr="003A1000">
        <w:rPr>
          <w:b/>
          <w:bCs/>
          <w:sz w:val="22"/>
          <w:szCs w:val="22"/>
        </w:rPr>
        <w:lastRenderedPageBreak/>
        <w:t>3. Data Sovereignty DR Isolation</w:t>
      </w:r>
    </w:p>
    <w:p w14:paraId="2DCDAF01" w14:textId="77777777" w:rsidR="00E70773" w:rsidRPr="00E70773" w:rsidRDefault="00E70773" w:rsidP="00E70773">
      <w:pPr>
        <w:spacing w:after="120" w:line="240" w:lineRule="auto"/>
        <w:rPr>
          <w:sz w:val="22"/>
          <w:szCs w:val="22"/>
        </w:rPr>
      </w:pPr>
      <w:r w:rsidRPr="00E70773">
        <w:rPr>
          <w:sz w:val="22"/>
          <w:szCs w:val="22"/>
        </w:rPr>
        <w:t xml:space="preserve">To satisfy </w:t>
      </w:r>
      <w:r w:rsidRPr="00E70773">
        <w:rPr>
          <w:b/>
          <w:bCs/>
          <w:sz w:val="22"/>
          <w:szCs w:val="22"/>
        </w:rPr>
        <w:t>ADGM FSRA</w:t>
      </w:r>
      <w:r w:rsidRPr="00E70773">
        <w:rPr>
          <w:sz w:val="22"/>
          <w:szCs w:val="22"/>
        </w:rPr>
        <w:t xml:space="preserve"> and </w:t>
      </w:r>
      <w:r w:rsidRPr="00E70773">
        <w:rPr>
          <w:b/>
          <w:bCs/>
          <w:sz w:val="22"/>
          <w:szCs w:val="22"/>
        </w:rPr>
        <w:t>Swiss FADP</w:t>
      </w:r>
      <w:r w:rsidRPr="00E70773">
        <w:rPr>
          <w:sz w:val="22"/>
          <w:szCs w:val="22"/>
        </w:rPr>
        <w:t xml:space="preserve"> requirements, DR backups are </w:t>
      </w:r>
      <w:r w:rsidRPr="00E70773">
        <w:rPr>
          <w:b/>
          <w:bCs/>
          <w:sz w:val="22"/>
          <w:szCs w:val="22"/>
        </w:rPr>
        <w:t>Region-Locked</w:t>
      </w:r>
      <w:r w:rsidRPr="00E70773">
        <w:rPr>
          <w:sz w:val="22"/>
          <w:szCs w:val="22"/>
        </w:rPr>
        <w:t>:</w:t>
      </w:r>
    </w:p>
    <w:p w14:paraId="46BF7E5F" w14:textId="77777777" w:rsidR="00E70773" w:rsidRPr="00E70773" w:rsidRDefault="00E70773" w:rsidP="00E70773">
      <w:pPr>
        <w:numPr>
          <w:ilvl w:val="0"/>
          <w:numId w:val="6"/>
        </w:numPr>
        <w:spacing w:after="120" w:line="240" w:lineRule="auto"/>
        <w:rPr>
          <w:sz w:val="22"/>
          <w:szCs w:val="22"/>
        </w:rPr>
      </w:pPr>
      <w:r w:rsidRPr="00E70773">
        <w:rPr>
          <w:b/>
          <w:bCs/>
          <w:sz w:val="22"/>
          <w:szCs w:val="22"/>
        </w:rPr>
        <w:t>DR-A (Americas):</w:t>
      </w:r>
      <w:r w:rsidRPr="00E70773">
        <w:rPr>
          <w:sz w:val="22"/>
          <w:szCs w:val="22"/>
        </w:rPr>
        <w:t xml:space="preserve"> Backed up within the USA LinuxONE partition and synced to Bermuda.</w:t>
      </w:r>
    </w:p>
    <w:p w14:paraId="3B5FE784" w14:textId="77777777" w:rsidR="00E70773" w:rsidRPr="00E70773" w:rsidRDefault="00E70773" w:rsidP="00E70773">
      <w:pPr>
        <w:numPr>
          <w:ilvl w:val="0"/>
          <w:numId w:val="6"/>
        </w:numPr>
        <w:spacing w:after="120" w:line="240" w:lineRule="auto"/>
        <w:rPr>
          <w:sz w:val="22"/>
          <w:szCs w:val="22"/>
        </w:rPr>
      </w:pPr>
      <w:r w:rsidRPr="00E70773">
        <w:rPr>
          <w:b/>
          <w:bCs/>
          <w:sz w:val="22"/>
          <w:szCs w:val="22"/>
        </w:rPr>
        <w:t>DR-B (EMEA/APAC):</w:t>
      </w:r>
      <w:r w:rsidRPr="00E70773">
        <w:rPr>
          <w:sz w:val="22"/>
          <w:szCs w:val="22"/>
        </w:rPr>
        <w:t xml:space="preserve"> Backed up within the Switzerland LinuxONE partition and synced to Bermuda.</w:t>
      </w:r>
    </w:p>
    <w:p w14:paraId="69418718" w14:textId="7A68A6E3" w:rsidR="00E70773" w:rsidRPr="00E70773" w:rsidRDefault="00E70773" w:rsidP="00E70773">
      <w:pPr>
        <w:numPr>
          <w:ilvl w:val="0"/>
          <w:numId w:val="6"/>
        </w:numPr>
        <w:spacing w:after="120" w:line="240" w:lineRule="auto"/>
        <w:rPr>
          <w:sz w:val="22"/>
          <w:szCs w:val="22"/>
        </w:rPr>
      </w:pPr>
      <w:r w:rsidRPr="00E70773">
        <w:rPr>
          <w:b/>
          <w:bCs/>
          <w:sz w:val="22"/>
          <w:szCs w:val="22"/>
        </w:rPr>
        <w:t>Conflict Prevention:</w:t>
      </w:r>
      <w:r w:rsidRPr="00E70773">
        <w:rPr>
          <w:sz w:val="22"/>
          <w:szCs w:val="22"/>
        </w:rPr>
        <w:t xml:space="preserve"> In a DR scenario, US authorities cannot access DR-B data because the encryption keys for that shard remain physically and logically tethered to the Swiss-Bermuda legal nexus.</w:t>
      </w:r>
      <w:r w:rsidR="00A10E20">
        <w:rPr>
          <w:sz w:val="22"/>
          <w:szCs w:val="22"/>
        </w:rPr>
        <w:t xml:space="preserve"> [</w:t>
      </w:r>
      <w:r w:rsidR="00A10E20" w:rsidRPr="00A10E20">
        <w:rPr>
          <w:i/>
          <w:iCs/>
          <w:sz w:val="22"/>
          <w:szCs w:val="22"/>
        </w:rPr>
        <w:t>Can it be reciprocated so that the Swiss authorities also cannot access DR-A data? -MJ</w:t>
      </w:r>
      <w:r w:rsidR="00A10E20">
        <w:rPr>
          <w:sz w:val="22"/>
          <w:szCs w:val="22"/>
        </w:rPr>
        <w:t xml:space="preserve">] </w:t>
      </w:r>
    </w:p>
    <w:p w14:paraId="24CB8792" w14:textId="65726295" w:rsidR="00E70773" w:rsidRPr="00E70773" w:rsidRDefault="00E70773" w:rsidP="00E70773">
      <w:pPr>
        <w:spacing w:after="120" w:line="240" w:lineRule="auto"/>
        <w:rPr>
          <w:b/>
          <w:bCs/>
        </w:rPr>
      </w:pPr>
      <w:r w:rsidRPr="00E70773">
        <w:rPr>
          <w:b/>
          <w:bCs/>
        </w:rPr>
        <w:t>Legal Interconnectivity &amp; Data Sovereignty</w:t>
      </w:r>
    </w:p>
    <w:p w14:paraId="2F1CC428" w14:textId="77777777" w:rsidR="00E70773" w:rsidRPr="00E70773" w:rsidRDefault="00E70773" w:rsidP="00E70773">
      <w:pPr>
        <w:spacing w:after="120" w:line="240" w:lineRule="auto"/>
        <w:rPr>
          <w:sz w:val="22"/>
          <w:szCs w:val="22"/>
        </w:rPr>
      </w:pPr>
      <w:r w:rsidRPr="00E70773">
        <w:rPr>
          <w:sz w:val="22"/>
          <w:szCs w:val="22"/>
        </w:rPr>
        <w:t xml:space="preserve">GSCX utilizes a </w:t>
      </w:r>
      <w:r w:rsidRPr="00E70773">
        <w:rPr>
          <w:b/>
          <w:bCs/>
          <w:sz w:val="22"/>
          <w:szCs w:val="22"/>
        </w:rPr>
        <w:t>Jurisdictional Mesh</w:t>
      </w:r>
      <w:r w:rsidRPr="00E70773">
        <w:rPr>
          <w:sz w:val="22"/>
          <w:szCs w:val="22"/>
        </w:rPr>
        <w:t xml:space="preserve"> to eliminate legal conflicts between the USA, Switzerland, Bermuda, and the UAE.</w:t>
      </w:r>
    </w:p>
    <w:p w14:paraId="7D9DFD62" w14:textId="2F1326E0" w:rsidR="00E70773" w:rsidRPr="00E70773" w:rsidRDefault="00E70773" w:rsidP="00E70773">
      <w:pPr>
        <w:spacing w:after="120" w:line="240" w:lineRule="auto"/>
        <w:rPr>
          <w:b/>
          <w:bCs/>
          <w:sz w:val="22"/>
          <w:szCs w:val="22"/>
        </w:rPr>
      </w:pPr>
      <w:r w:rsidRPr="00E70773">
        <w:rPr>
          <w:b/>
          <w:bCs/>
          <w:sz w:val="22"/>
          <w:szCs w:val="22"/>
        </w:rPr>
        <w:t>1. US-Switzerland "Firewall"</w:t>
      </w:r>
    </w:p>
    <w:p w14:paraId="310E840D" w14:textId="77777777" w:rsidR="00E70773" w:rsidRPr="00E70773" w:rsidRDefault="00E70773" w:rsidP="00E70773">
      <w:pPr>
        <w:spacing w:after="120" w:line="240" w:lineRule="auto"/>
        <w:rPr>
          <w:sz w:val="22"/>
          <w:szCs w:val="22"/>
        </w:rPr>
      </w:pPr>
      <w:r w:rsidRPr="00E70773">
        <w:rPr>
          <w:sz w:val="22"/>
          <w:szCs w:val="22"/>
        </w:rPr>
        <w:t>By separating the hubs, GSCX prevents "Long-Arm Jurisdiction."</w:t>
      </w:r>
    </w:p>
    <w:p w14:paraId="14ECAC7C" w14:textId="354AC1E9" w:rsidR="00E70773" w:rsidRPr="00E70773" w:rsidRDefault="00E70773" w:rsidP="00E70773">
      <w:pPr>
        <w:numPr>
          <w:ilvl w:val="0"/>
          <w:numId w:val="7"/>
        </w:numPr>
        <w:spacing w:after="120" w:line="240" w:lineRule="auto"/>
        <w:rPr>
          <w:sz w:val="22"/>
          <w:szCs w:val="22"/>
        </w:rPr>
      </w:pPr>
      <w:r w:rsidRPr="00E70773">
        <w:rPr>
          <w:b/>
          <w:bCs/>
          <w:sz w:val="22"/>
          <w:szCs w:val="22"/>
        </w:rPr>
        <w:t xml:space="preserve">US </w:t>
      </w:r>
      <w:r w:rsidR="004C2A38">
        <w:rPr>
          <w:b/>
          <w:bCs/>
          <w:sz w:val="22"/>
          <w:szCs w:val="22"/>
        </w:rPr>
        <w:t xml:space="preserve">CLOUD Act </w:t>
      </w:r>
      <w:r w:rsidRPr="00E70773">
        <w:rPr>
          <w:b/>
          <w:bCs/>
          <w:sz w:val="22"/>
          <w:szCs w:val="22"/>
        </w:rPr>
        <w:t>Mitigation:</w:t>
      </w:r>
      <w:r w:rsidRPr="00E70773">
        <w:rPr>
          <w:sz w:val="22"/>
          <w:szCs w:val="22"/>
        </w:rPr>
        <w:t xml:space="preserve"> Because the EMEA/APAC data is never "stored" or "processed" on the USA node, US law enforcement has no legal basis to request that data from the US entity.</w:t>
      </w:r>
    </w:p>
    <w:p w14:paraId="56A1C8A5" w14:textId="77777777" w:rsidR="00E70773" w:rsidRPr="00E70773" w:rsidRDefault="00E70773" w:rsidP="00E70773">
      <w:pPr>
        <w:numPr>
          <w:ilvl w:val="0"/>
          <w:numId w:val="7"/>
        </w:numPr>
        <w:spacing w:after="120" w:line="240" w:lineRule="auto"/>
        <w:rPr>
          <w:sz w:val="22"/>
          <w:szCs w:val="22"/>
        </w:rPr>
      </w:pPr>
      <w:r w:rsidRPr="00E70773">
        <w:rPr>
          <w:b/>
          <w:bCs/>
          <w:sz w:val="22"/>
          <w:szCs w:val="22"/>
        </w:rPr>
        <w:t>Swiss Neutrality:</w:t>
      </w:r>
      <w:r w:rsidRPr="00E70773">
        <w:rPr>
          <w:sz w:val="22"/>
          <w:szCs w:val="22"/>
        </w:rPr>
        <w:t xml:space="preserve"> Under Swiss law, the Switzerland node is prohibited from sharing data with foreign agencies without a specific Swiss court order, which requires the act to be a crime in Switzerland.</w:t>
      </w:r>
    </w:p>
    <w:p w14:paraId="179B333E" w14:textId="77777777" w:rsidR="00E70773" w:rsidRPr="00E70773" w:rsidRDefault="00E70773" w:rsidP="00E70773">
      <w:pPr>
        <w:spacing w:after="120" w:line="240" w:lineRule="auto"/>
        <w:rPr>
          <w:b/>
          <w:bCs/>
          <w:sz w:val="22"/>
          <w:szCs w:val="22"/>
        </w:rPr>
      </w:pPr>
      <w:r w:rsidRPr="00E70773">
        <w:rPr>
          <w:b/>
          <w:bCs/>
          <w:sz w:val="22"/>
          <w:szCs w:val="22"/>
        </w:rPr>
        <w:t>2. ADGM-BMA Regulatory Bridge Alignment</w:t>
      </w:r>
    </w:p>
    <w:p w14:paraId="38098812" w14:textId="77777777" w:rsidR="00E70773" w:rsidRPr="00E70773" w:rsidRDefault="00E70773" w:rsidP="00E70773">
      <w:pPr>
        <w:spacing w:after="120" w:line="240" w:lineRule="auto"/>
        <w:rPr>
          <w:sz w:val="22"/>
          <w:szCs w:val="22"/>
        </w:rPr>
      </w:pPr>
      <w:r w:rsidRPr="00E70773">
        <w:rPr>
          <w:sz w:val="22"/>
          <w:szCs w:val="22"/>
        </w:rPr>
        <w:t xml:space="preserve">The architecture satisfies the </w:t>
      </w:r>
      <w:r w:rsidRPr="00E70773">
        <w:rPr>
          <w:b/>
          <w:bCs/>
          <w:sz w:val="22"/>
          <w:szCs w:val="22"/>
        </w:rPr>
        <w:t>ADGM's Data Protection Regulations (DPR)</w:t>
      </w:r>
      <w:r w:rsidRPr="00E70773">
        <w:rPr>
          <w:sz w:val="22"/>
          <w:szCs w:val="22"/>
        </w:rPr>
        <w:t xml:space="preserve"> while maintaining the </w:t>
      </w:r>
      <w:r w:rsidRPr="00E70773">
        <w:rPr>
          <w:b/>
          <w:bCs/>
          <w:sz w:val="22"/>
          <w:szCs w:val="22"/>
        </w:rPr>
        <w:t>BMA's Standard of Care</w:t>
      </w:r>
      <w:r w:rsidRPr="00E70773">
        <w:rPr>
          <w:sz w:val="22"/>
          <w:szCs w:val="22"/>
        </w:rPr>
        <w:t>:</w:t>
      </w:r>
    </w:p>
    <w:p w14:paraId="60B5FD5E" w14:textId="284888AD" w:rsidR="00E70773" w:rsidRPr="00E70773" w:rsidRDefault="00E70773" w:rsidP="00E70773">
      <w:pPr>
        <w:numPr>
          <w:ilvl w:val="0"/>
          <w:numId w:val="8"/>
        </w:numPr>
        <w:spacing w:after="120" w:line="240" w:lineRule="auto"/>
        <w:rPr>
          <w:sz w:val="22"/>
          <w:szCs w:val="22"/>
        </w:rPr>
      </w:pPr>
      <w:r w:rsidRPr="00E70773">
        <w:rPr>
          <w:b/>
          <w:bCs/>
          <w:sz w:val="22"/>
          <w:szCs w:val="22"/>
        </w:rPr>
        <w:t>Data Residency:</w:t>
      </w:r>
      <w:r w:rsidRPr="00E70773">
        <w:rPr>
          <w:sz w:val="22"/>
          <w:szCs w:val="22"/>
        </w:rPr>
        <w:t xml:space="preserve"> UAE-based trade data is processed in the Swiss node (</w:t>
      </w:r>
      <w:r w:rsidR="003A1000">
        <w:rPr>
          <w:sz w:val="22"/>
          <w:szCs w:val="22"/>
        </w:rPr>
        <w:t xml:space="preserve">Eastern </w:t>
      </w:r>
      <w:r w:rsidR="00137BA4">
        <w:rPr>
          <w:sz w:val="22"/>
          <w:szCs w:val="22"/>
        </w:rPr>
        <w:t>Hemisphere</w:t>
      </w:r>
      <w:r w:rsidRPr="00E70773">
        <w:rPr>
          <w:sz w:val="22"/>
          <w:szCs w:val="22"/>
        </w:rPr>
        <w:t xml:space="preserve"> Hub). This aligns with ADGM's preference for data to be handled in jurisdictions with </w:t>
      </w:r>
      <w:r w:rsidR="005D58F2">
        <w:rPr>
          <w:sz w:val="22"/>
          <w:szCs w:val="22"/>
        </w:rPr>
        <w:t>protection levels</w:t>
      </w:r>
      <w:r w:rsidR="005D58F2" w:rsidRPr="00E70773">
        <w:rPr>
          <w:sz w:val="22"/>
          <w:szCs w:val="22"/>
        </w:rPr>
        <w:t xml:space="preserve"> </w:t>
      </w:r>
      <w:r w:rsidR="005D58F2">
        <w:rPr>
          <w:sz w:val="22"/>
          <w:szCs w:val="22"/>
        </w:rPr>
        <w:t xml:space="preserve">viewed as </w:t>
      </w:r>
      <w:r w:rsidRPr="00E70773">
        <w:rPr>
          <w:sz w:val="22"/>
          <w:szCs w:val="22"/>
        </w:rPr>
        <w:t>"</w:t>
      </w:r>
      <w:r w:rsidR="005D58F2">
        <w:rPr>
          <w:sz w:val="22"/>
          <w:szCs w:val="22"/>
        </w:rPr>
        <w:t>a</w:t>
      </w:r>
      <w:r w:rsidRPr="00E70773">
        <w:rPr>
          <w:sz w:val="22"/>
          <w:szCs w:val="22"/>
        </w:rPr>
        <w:t>dequate".</w:t>
      </w:r>
    </w:p>
    <w:p w14:paraId="727A64BA" w14:textId="51FE52BE" w:rsidR="00E70773" w:rsidRPr="00A10E20" w:rsidRDefault="00E70773" w:rsidP="00A10E20">
      <w:pPr>
        <w:numPr>
          <w:ilvl w:val="0"/>
          <w:numId w:val="8"/>
        </w:numPr>
        <w:spacing w:after="120" w:line="240" w:lineRule="auto"/>
        <w:rPr>
          <w:sz w:val="22"/>
          <w:szCs w:val="22"/>
        </w:rPr>
      </w:pPr>
      <w:r w:rsidRPr="00E70773">
        <w:rPr>
          <w:b/>
          <w:bCs/>
          <w:sz w:val="22"/>
          <w:szCs w:val="22"/>
        </w:rPr>
        <w:t>Bermuda Auditability:</w:t>
      </w:r>
      <w:r w:rsidRPr="00E70773">
        <w:rPr>
          <w:sz w:val="22"/>
          <w:szCs w:val="22"/>
        </w:rPr>
        <w:t xml:space="preserve"> The BMA has full access to the resilience node in Bermuda. This ensures that the "Mind and Management" of the risk remains in Bermuda, satisfying the </w:t>
      </w:r>
      <w:r w:rsidRPr="00E70773">
        <w:rPr>
          <w:b/>
          <w:bCs/>
          <w:sz w:val="22"/>
          <w:szCs w:val="22"/>
        </w:rPr>
        <w:t xml:space="preserve">Class </w:t>
      </w:r>
      <w:r w:rsidR="000540B0">
        <w:rPr>
          <w:b/>
          <w:bCs/>
          <w:sz w:val="22"/>
          <w:szCs w:val="22"/>
        </w:rPr>
        <w:t>F</w:t>
      </w:r>
      <w:r w:rsidRPr="00E70773">
        <w:rPr>
          <w:b/>
          <w:bCs/>
          <w:sz w:val="22"/>
          <w:szCs w:val="22"/>
        </w:rPr>
        <w:t xml:space="preserve"> and Class IIGB</w:t>
      </w:r>
      <w:r w:rsidRPr="00E70773">
        <w:rPr>
          <w:sz w:val="22"/>
          <w:szCs w:val="22"/>
        </w:rPr>
        <w:t xml:space="preserve"> licensing requirements.</w:t>
      </w:r>
    </w:p>
    <w:p w14:paraId="645F61D3" w14:textId="5BF388A5" w:rsidR="00E70773" w:rsidRPr="00C27AE8" w:rsidRDefault="00E70773" w:rsidP="00E70773">
      <w:pPr>
        <w:spacing w:after="120" w:line="240" w:lineRule="auto"/>
        <w:rPr>
          <w:b/>
          <w:bCs/>
          <w:sz w:val="22"/>
          <w:szCs w:val="22"/>
        </w:rPr>
      </w:pPr>
      <w:r w:rsidRPr="00C27AE8">
        <w:rPr>
          <w:b/>
          <w:bCs/>
          <w:sz w:val="22"/>
          <w:szCs w:val="22"/>
        </w:rPr>
        <w:t>Summary of Regional Workload Distribution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06"/>
        <w:gridCol w:w="2448"/>
        <w:gridCol w:w="2524"/>
        <w:gridCol w:w="2966"/>
      </w:tblGrid>
      <w:tr w:rsidR="00E70773" w:rsidRPr="00E70773" w14:paraId="66F0052A" w14:textId="77777777" w:rsidTr="00E70773">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A38CD2B" w14:textId="77777777" w:rsidR="00E70773" w:rsidRPr="00E70773" w:rsidRDefault="00E70773" w:rsidP="00E70773">
            <w:pPr>
              <w:spacing w:after="120" w:line="240" w:lineRule="auto"/>
              <w:ind w:left="200"/>
              <w:rPr>
                <w:sz w:val="22"/>
                <w:szCs w:val="22"/>
              </w:rPr>
            </w:pPr>
            <w:r w:rsidRPr="00E70773">
              <w:rPr>
                <w:b/>
                <w:bCs/>
                <w:sz w:val="22"/>
                <w:szCs w:val="22"/>
              </w:rPr>
              <w:t>Region</w:t>
            </w:r>
          </w:p>
        </w:tc>
        <w:tc>
          <w:tcPr>
            <w:tcW w:w="0" w:type="auto"/>
            <w:tcBorders>
              <w:top w:val="single" w:sz="6" w:space="0" w:color="auto"/>
              <w:left w:val="single" w:sz="6" w:space="0" w:color="auto"/>
              <w:bottom w:val="single" w:sz="6" w:space="0" w:color="auto"/>
              <w:right w:val="single" w:sz="6" w:space="0" w:color="auto"/>
            </w:tcBorders>
            <w:vAlign w:val="center"/>
            <w:hideMark/>
          </w:tcPr>
          <w:p w14:paraId="3023CB94" w14:textId="77777777" w:rsidR="00E70773" w:rsidRPr="00E70773" w:rsidRDefault="00E70773" w:rsidP="00E70773">
            <w:pPr>
              <w:spacing w:after="120" w:line="240" w:lineRule="auto"/>
              <w:ind w:left="200"/>
              <w:rPr>
                <w:sz w:val="22"/>
                <w:szCs w:val="22"/>
              </w:rPr>
            </w:pPr>
            <w:r w:rsidRPr="00E70773">
              <w:rPr>
                <w:b/>
                <w:bCs/>
                <w:sz w:val="22"/>
                <w:szCs w:val="22"/>
              </w:rPr>
              <w:t>Primary Hub</w:t>
            </w:r>
          </w:p>
        </w:tc>
        <w:tc>
          <w:tcPr>
            <w:tcW w:w="0" w:type="auto"/>
            <w:tcBorders>
              <w:top w:val="single" w:sz="6" w:space="0" w:color="auto"/>
              <w:left w:val="single" w:sz="6" w:space="0" w:color="auto"/>
              <w:bottom w:val="single" w:sz="6" w:space="0" w:color="auto"/>
              <w:right w:val="single" w:sz="6" w:space="0" w:color="auto"/>
            </w:tcBorders>
            <w:vAlign w:val="center"/>
            <w:hideMark/>
          </w:tcPr>
          <w:p w14:paraId="6845C840" w14:textId="77777777" w:rsidR="00E70773" w:rsidRPr="00E70773" w:rsidRDefault="00E70773" w:rsidP="00E70773">
            <w:pPr>
              <w:spacing w:after="120" w:line="240" w:lineRule="auto"/>
              <w:ind w:left="200"/>
              <w:rPr>
                <w:sz w:val="22"/>
                <w:szCs w:val="22"/>
              </w:rPr>
            </w:pPr>
            <w:r w:rsidRPr="00E70773">
              <w:rPr>
                <w:b/>
                <w:bCs/>
                <w:sz w:val="22"/>
                <w:szCs w:val="22"/>
              </w:rPr>
              <w:t>Legal Shield</w:t>
            </w:r>
          </w:p>
        </w:tc>
        <w:tc>
          <w:tcPr>
            <w:tcW w:w="0" w:type="auto"/>
            <w:tcBorders>
              <w:top w:val="single" w:sz="6" w:space="0" w:color="auto"/>
              <w:left w:val="single" w:sz="6" w:space="0" w:color="auto"/>
              <w:bottom w:val="single" w:sz="6" w:space="0" w:color="auto"/>
              <w:right w:val="single" w:sz="6" w:space="0" w:color="auto"/>
            </w:tcBorders>
            <w:vAlign w:val="center"/>
            <w:hideMark/>
          </w:tcPr>
          <w:p w14:paraId="58203722" w14:textId="77777777" w:rsidR="00E70773" w:rsidRPr="00E70773" w:rsidRDefault="00E70773" w:rsidP="00E70773">
            <w:pPr>
              <w:spacing w:after="120" w:line="240" w:lineRule="auto"/>
              <w:ind w:left="200"/>
              <w:rPr>
                <w:sz w:val="22"/>
                <w:szCs w:val="22"/>
              </w:rPr>
            </w:pPr>
            <w:r w:rsidRPr="00E70773">
              <w:rPr>
                <w:b/>
                <w:bCs/>
                <w:sz w:val="22"/>
                <w:szCs w:val="22"/>
              </w:rPr>
              <w:t>DR Path</w:t>
            </w:r>
          </w:p>
        </w:tc>
      </w:tr>
      <w:tr w:rsidR="00E70773" w:rsidRPr="00E70773" w14:paraId="03CC296F" w14:textId="77777777" w:rsidTr="00E70773">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1031917" w14:textId="77777777" w:rsidR="00E70773" w:rsidRPr="00E70773" w:rsidRDefault="00E70773" w:rsidP="00E70773">
            <w:pPr>
              <w:spacing w:after="120" w:line="240" w:lineRule="auto"/>
              <w:ind w:left="200"/>
              <w:rPr>
                <w:sz w:val="22"/>
                <w:szCs w:val="22"/>
              </w:rPr>
            </w:pPr>
            <w:r w:rsidRPr="00E70773">
              <w:rPr>
                <w:b/>
                <w:bCs/>
                <w:sz w:val="22"/>
                <w:szCs w:val="22"/>
              </w:rPr>
              <w:t>Americas</w:t>
            </w:r>
          </w:p>
        </w:tc>
        <w:tc>
          <w:tcPr>
            <w:tcW w:w="0" w:type="auto"/>
            <w:tcBorders>
              <w:top w:val="single" w:sz="6" w:space="0" w:color="auto"/>
              <w:left w:val="single" w:sz="6" w:space="0" w:color="auto"/>
              <w:bottom w:val="single" w:sz="6" w:space="0" w:color="auto"/>
              <w:right w:val="single" w:sz="6" w:space="0" w:color="auto"/>
            </w:tcBorders>
            <w:vAlign w:val="center"/>
            <w:hideMark/>
          </w:tcPr>
          <w:p w14:paraId="0EE6525D" w14:textId="77777777" w:rsidR="00E70773" w:rsidRPr="00E70773" w:rsidRDefault="00E70773" w:rsidP="00E70773">
            <w:pPr>
              <w:spacing w:after="120" w:line="240" w:lineRule="auto"/>
              <w:ind w:left="200"/>
              <w:rPr>
                <w:sz w:val="22"/>
                <w:szCs w:val="22"/>
              </w:rPr>
            </w:pPr>
            <w:r w:rsidRPr="00E70773">
              <w:rPr>
                <w:sz w:val="22"/>
                <w:szCs w:val="22"/>
              </w:rPr>
              <w:t>USA (LinuxONE)</w:t>
            </w:r>
          </w:p>
        </w:tc>
        <w:tc>
          <w:tcPr>
            <w:tcW w:w="0" w:type="auto"/>
            <w:tcBorders>
              <w:top w:val="single" w:sz="6" w:space="0" w:color="auto"/>
              <w:left w:val="single" w:sz="6" w:space="0" w:color="auto"/>
              <w:bottom w:val="single" w:sz="6" w:space="0" w:color="auto"/>
              <w:right w:val="single" w:sz="6" w:space="0" w:color="auto"/>
            </w:tcBorders>
            <w:vAlign w:val="center"/>
            <w:hideMark/>
          </w:tcPr>
          <w:p w14:paraId="34F26672" w14:textId="77777777" w:rsidR="00E70773" w:rsidRPr="00E70773" w:rsidRDefault="00E70773" w:rsidP="00E70773">
            <w:pPr>
              <w:spacing w:after="120" w:line="240" w:lineRule="auto"/>
              <w:ind w:left="200"/>
              <w:rPr>
                <w:sz w:val="22"/>
                <w:szCs w:val="22"/>
              </w:rPr>
            </w:pPr>
            <w:r w:rsidRPr="00E70773">
              <w:rPr>
                <w:sz w:val="22"/>
                <w:szCs w:val="22"/>
              </w:rPr>
              <w:t>US Federal Law</w:t>
            </w:r>
          </w:p>
        </w:tc>
        <w:tc>
          <w:tcPr>
            <w:tcW w:w="0" w:type="auto"/>
            <w:tcBorders>
              <w:top w:val="single" w:sz="6" w:space="0" w:color="auto"/>
              <w:left w:val="single" w:sz="6" w:space="0" w:color="auto"/>
              <w:bottom w:val="single" w:sz="6" w:space="0" w:color="auto"/>
              <w:right w:val="single" w:sz="6" w:space="0" w:color="auto"/>
            </w:tcBorders>
            <w:vAlign w:val="center"/>
            <w:hideMark/>
          </w:tcPr>
          <w:p w14:paraId="5250E0C8" w14:textId="6C4AB93B" w:rsidR="00E70773" w:rsidRPr="00E70773" w:rsidRDefault="00E70773" w:rsidP="00E70773">
            <w:pPr>
              <w:spacing w:after="120" w:line="240" w:lineRule="auto"/>
              <w:ind w:left="200"/>
              <w:rPr>
                <w:sz w:val="22"/>
                <w:szCs w:val="22"/>
              </w:rPr>
            </w:pPr>
            <w:r w:rsidRPr="00E70773">
              <w:rPr>
                <w:sz w:val="22"/>
                <w:szCs w:val="22"/>
              </w:rPr>
              <w:t xml:space="preserve">Bermuda Sync </w:t>
            </w:r>
            <w:r w:rsidR="00A10E20">
              <w:rPr>
                <w:sz w:val="22"/>
                <w:szCs w:val="22"/>
              </w:rPr>
              <w:t>-&gt;</w:t>
            </w:r>
            <w:r w:rsidRPr="00E70773">
              <w:rPr>
                <w:sz w:val="22"/>
                <w:szCs w:val="22"/>
              </w:rPr>
              <w:t xml:space="preserve"> Swiss Node</w:t>
            </w:r>
          </w:p>
        </w:tc>
      </w:tr>
      <w:tr w:rsidR="00E70773" w:rsidRPr="00E70773" w14:paraId="2F78590D" w14:textId="77777777" w:rsidTr="00E70773">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A5E3375" w14:textId="17280B75" w:rsidR="00E70773" w:rsidRPr="00E70773" w:rsidRDefault="00E70773" w:rsidP="00E70773">
            <w:pPr>
              <w:spacing w:after="120" w:line="240" w:lineRule="auto"/>
              <w:ind w:left="200"/>
              <w:rPr>
                <w:sz w:val="22"/>
                <w:szCs w:val="22"/>
              </w:rPr>
            </w:pPr>
            <w:r w:rsidRPr="00E70773">
              <w:rPr>
                <w:b/>
                <w:bCs/>
                <w:sz w:val="22"/>
                <w:szCs w:val="22"/>
              </w:rPr>
              <w:t>EMEA/ UAE</w:t>
            </w:r>
          </w:p>
        </w:tc>
        <w:tc>
          <w:tcPr>
            <w:tcW w:w="0" w:type="auto"/>
            <w:tcBorders>
              <w:top w:val="single" w:sz="6" w:space="0" w:color="auto"/>
              <w:left w:val="single" w:sz="6" w:space="0" w:color="auto"/>
              <w:bottom w:val="single" w:sz="6" w:space="0" w:color="auto"/>
              <w:right w:val="single" w:sz="6" w:space="0" w:color="auto"/>
            </w:tcBorders>
            <w:vAlign w:val="center"/>
            <w:hideMark/>
          </w:tcPr>
          <w:p w14:paraId="1AE8E8D2" w14:textId="77777777" w:rsidR="00E70773" w:rsidRPr="00E70773" w:rsidRDefault="00E70773" w:rsidP="00E70773">
            <w:pPr>
              <w:spacing w:after="120" w:line="240" w:lineRule="auto"/>
              <w:ind w:left="200"/>
              <w:rPr>
                <w:sz w:val="22"/>
                <w:szCs w:val="22"/>
              </w:rPr>
            </w:pPr>
            <w:r w:rsidRPr="00E70773">
              <w:rPr>
                <w:sz w:val="22"/>
                <w:szCs w:val="22"/>
              </w:rPr>
              <w:t>Switzerland (LinuxONE)</w:t>
            </w:r>
          </w:p>
        </w:tc>
        <w:tc>
          <w:tcPr>
            <w:tcW w:w="0" w:type="auto"/>
            <w:tcBorders>
              <w:top w:val="single" w:sz="6" w:space="0" w:color="auto"/>
              <w:left w:val="single" w:sz="6" w:space="0" w:color="auto"/>
              <w:bottom w:val="single" w:sz="6" w:space="0" w:color="auto"/>
              <w:right w:val="single" w:sz="6" w:space="0" w:color="auto"/>
            </w:tcBorders>
            <w:vAlign w:val="center"/>
            <w:hideMark/>
          </w:tcPr>
          <w:p w14:paraId="7438878B" w14:textId="77777777" w:rsidR="00E70773" w:rsidRPr="00E70773" w:rsidRDefault="00E70773" w:rsidP="00E70773">
            <w:pPr>
              <w:spacing w:after="120" w:line="240" w:lineRule="auto"/>
              <w:ind w:left="200"/>
              <w:rPr>
                <w:sz w:val="22"/>
                <w:szCs w:val="22"/>
              </w:rPr>
            </w:pPr>
            <w:r w:rsidRPr="00E70773">
              <w:rPr>
                <w:sz w:val="22"/>
                <w:szCs w:val="22"/>
              </w:rPr>
              <w:t>Swiss FADP / ADGM DPR</w:t>
            </w:r>
          </w:p>
        </w:tc>
        <w:tc>
          <w:tcPr>
            <w:tcW w:w="0" w:type="auto"/>
            <w:tcBorders>
              <w:top w:val="single" w:sz="6" w:space="0" w:color="auto"/>
              <w:left w:val="single" w:sz="6" w:space="0" w:color="auto"/>
              <w:bottom w:val="single" w:sz="6" w:space="0" w:color="auto"/>
              <w:right w:val="single" w:sz="6" w:space="0" w:color="auto"/>
            </w:tcBorders>
            <w:vAlign w:val="center"/>
            <w:hideMark/>
          </w:tcPr>
          <w:p w14:paraId="37B4D5BC" w14:textId="4B7944C5" w:rsidR="00E70773" w:rsidRPr="00E70773" w:rsidRDefault="00E70773" w:rsidP="00E70773">
            <w:pPr>
              <w:spacing w:after="120" w:line="240" w:lineRule="auto"/>
              <w:ind w:left="200"/>
              <w:rPr>
                <w:sz w:val="22"/>
                <w:szCs w:val="22"/>
              </w:rPr>
            </w:pPr>
            <w:r w:rsidRPr="00E70773">
              <w:rPr>
                <w:sz w:val="22"/>
                <w:szCs w:val="22"/>
              </w:rPr>
              <w:t xml:space="preserve">Bermuda Sync </w:t>
            </w:r>
            <w:r w:rsidR="00A10E20">
              <w:rPr>
                <w:sz w:val="22"/>
                <w:szCs w:val="22"/>
              </w:rPr>
              <w:t>-&gt;</w:t>
            </w:r>
            <w:r w:rsidRPr="00E70773">
              <w:rPr>
                <w:sz w:val="22"/>
                <w:szCs w:val="22"/>
              </w:rPr>
              <w:t xml:space="preserve"> USA Node</w:t>
            </w:r>
          </w:p>
        </w:tc>
      </w:tr>
      <w:tr w:rsidR="00E70773" w:rsidRPr="00E70773" w14:paraId="0D420200" w14:textId="77777777" w:rsidTr="00E70773">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6FD13B3" w14:textId="77777777" w:rsidR="00E70773" w:rsidRPr="00E70773" w:rsidRDefault="00E70773" w:rsidP="00E70773">
            <w:pPr>
              <w:spacing w:after="120" w:line="240" w:lineRule="auto"/>
              <w:ind w:left="200"/>
              <w:rPr>
                <w:sz w:val="22"/>
                <w:szCs w:val="22"/>
              </w:rPr>
            </w:pPr>
            <w:r w:rsidRPr="00E70773">
              <w:rPr>
                <w:b/>
                <w:bCs/>
                <w:sz w:val="22"/>
                <w:szCs w:val="22"/>
              </w:rPr>
              <w:t>APAC</w:t>
            </w:r>
          </w:p>
        </w:tc>
        <w:tc>
          <w:tcPr>
            <w:tcW w:w="0" w:type="auto"/>
            <w:tcBorders>
              <w:top w:val="single" w:sz="6" w:space="0" w:color="auto"/>
              <w:left w:val="single" w:sz="6" w:space="0" w:color="auto"/>
              <w:bottom w:val="single" w:sz="6" w:space="0" w:color="auto"/>
              <w:right w:val="single" w:sz="6" w:space="0" w:color="auto"/>
            </w:tcBorders>
            <w:vAlign w:val="center"/>
            <w:hideMark/>
          </w:tcPr>
          <w:p w14:paraId="25E99AE9" w14:textId="77777777" w:rsidR="00E70773" w:rsidRPr="00E70773" w:rsidRDefault="00E70773" w:rsidP="00E70773">
            <w:pPr>
              <w:spacing w:after="120" w:line="240" w:lineRule="auto"/>
              <w:ind w:left="200"/>
              <w:rPr>
                <w:sz w:val="22"/>
                <w:szCs w:val="22"/>
              </w:rPr>
            </w:pPr>
            <w:r w:rsidRPr="00E70773">
              <w:rPr>
                <w:sz w:val="22"/>
                <w:szCs w:val="22"/>
              </w:rPr>
              <w:t>Switzerland (LinuxONE)</w:t>
            </w:r>
          </w:p>
        </w:tc>
        <w:tc>
          <w:tcPr>
            <w:tcW w:w="0" w:type="auto"/>
            <w:tcBorders>
              <w:top w:val="single" w:sz="6" w:space="0" w:color="auto"/>
              <w:left w:val="single" w:sz="6" w:space="0" w:color="auto"/>
              <w:bottom w:val="single" w:sz="6" w:space="0" w:color="auto"/>
              <w:right w:val="single" w:sz="6" w:space="0" w:color="auto"/>
            </w:tcBorders>
            <w:vAlign w:val="center"/>
            <w:hideMark/>
          </w:tcPr>
          <w:p w14:paraId="0DE8B12B" w14:textId="77777777" w:rsidR="00E70773" w:rsidRPr="00E70773" w:rsidRDefault="00E70773" w:rsidP="00E70773">
            <w:pPr>
              <w:spacing w:after="120" w:line="240" w:lineRule="auto"/>
              <w:ind w:left="200"/>
              <w:rPr>
                <w:sz w:val="22"/>
                <w:szCs w:val="22"/>
              </w:rPr>
            </w:pPr>
            <w:r w:rsidRPr="00E70773">
              <w:rPr>
                <w:sz w:val="22"/>
                <w:szCs w:val="22"/>
              </w:rPr>
              <w:t>Swiss FADP</w:t>
            </w:r>
          </w:p>
        </w:tc>
        <w:tc>
          <w:tcPr>
            <w:tcW w:w="0" w:type="auto"/>
            <w:tcBorders>
              <w:top w:val="single" w:sz="6" w:space="0" w:color="auto"/>
              <w:left w:val="single" w:sz="6" w:space="0" w:color="auto"/>
              <w:bottom w:val="single" w:sz="6" w:space="0" w:color="auto"/>
              <w:right w:val="single" w:sz="6" w:space="0" w:color="auto"/>
            </w:tcBorders>
            <w:vAlign w:val="center"/>
            <w:hideMark/>
          </w:tcPr>
          <w:p w14:paraId="32E16DE7" w14:textId="576385D2" w:rsidR="00E70773" w:rsidRPr="00E70773" w:rsidRDefault="00E70773" w:rsidP="00E70773">
            <w:pPr>
              <w:spacing w:after="120" w:line="240" w:lineRule="auto"/>
              <w:ind w:left="200"/>
              <w:rPr>
                <w:sz w:val="22"/>
                <w:szCs w:val="22"/>
              </w:rPr>
            </w:pPr>
            <w:r w:rsidRPr="00E70773">
              <w:rPr>
                <w:sz w:val="22"/>
                <w:szCs w:val="22"/>
              </w:rPr>
              <w:t xml:space="preserve">Bermuda Sync </w:t>
            </w:r>
            <w:r w:rsidR="00A10E20">
              <w:rPr>
                <w:sz w:val="22"/>
                <w:szCs w:val="22"/>
              </w:rPr>
              <w:t>-&gt;</w:t>
            </w:r>
            <w:r w:rsidRPr="00E70773">
              <w:rPr>
                <w:sz w:val="22"/>
                <w:szCs w:val="22"/>
              </w:rPr>
              <w:t xml:space="preserve"> USA Node</w:t>
            </w:r>
          </w:p>
        </w:tc>
      </w:tr>
      <w:tr w:rsidR="00E70773" w:rsidRPr="00E70773" w14:paraId="170153E9" w14:textId="77777777" w:rsidTr="00E70773">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8536DA0" w14:textId="77777777" w:rsidR="00E70773" w:rsidRPr="00E70773" w:rsidRDefault="00E70773" w:rsidP="00E70773">
            <w:pPr>
              <w:spacing w:after="120" w:line="240" w:lineRule="auto"/>
              <w:ind w:left="200"/>
              <w:rPr>
                <w:sz w:val="22"/>
                <w:szCs w:val="22"/>
              </w:rPr>
            </w:pPr>
            <w:r w:rsidRPr="00E70773">
              <w:rPr>
                <w:b/>
                <w:bCs/>
                <w:sz w:val="22"/>
                <w:szCs w:val="22"/>
              </w:rPr>
              <w:lastRenderedPageBreak/>
              <w:t>Bermuda</w:t>
            </w:r>
          </w:p>
        </w:tc>
        <w:tc>
          <w:tcPr>
            <w:tcW w:w="0" w:type="auto"/>
            <w:tcBorders>
              <w:top w:val="single" w:sz="6" w:space="0" w:color="auto"/>
              <w:left w:val="single" w:sz="6" w:space="0" w:color="auto"/>
              <w:bottom w:val="single" w:sz="6" w:space="0" w:color="auto"/>
              <w:right w:val="single" w:sz="6" w:space="0" w:color="auto"/>
            </w:tcBorders>
            <w:vAlign w:val="center"/>
            <w:hideMark/>
          </w:tcPr>
          <w:p w14:paraId="73A172BB" w14:textId="77777777" w:rsidR="00E70773" w:rsidRPr="00E70773" w:rsidRDefault="00E70773" w:rsidP="00E70773">
            <w:pPr>
              <w:spacing w:after="120" w:line="240" w:lineRule="auto"/>
              <w:ind w:left="200"/>
              <w:rPr>
                <w:sz w:val="22"/>
                <w:szCs w:val="22"/>
              </w:rPr>
            </w:pPr>
            <w:r w:rsidRPr="00E70773">
              <w:rPr>
                <w:sz w:val="22"/>
                <w:szCs w:val="22"/>
              </w:rPr>
              <w:t>Dual-Sync Hub</w:t>
            </w:r>
          </w:p>
        </w:tc>
        <w:tc>
          <w:tcPr>
            <w:tcW w:w="0" w:type="auto"/>
            <w:tcBorders>
              <w:top w:val="single" w:sz="6" w:space="0" w:color="auto"/>
              <w:left w:val="single" w:sz="6" w:space="0" w:color="auto"/>
              <w:bottom w:val="single" w:sz="6" w:space="0" w:color="auto"/>
              <w:right w:val="single" w:sz="6" w:space="0" w:color="auto"/>
            </w:tcBorders>
            <w:vAlign w:val="center"/>
            <w:hideMark/>
          </w:tcPr>
          <w:p w14:paraId="13BB6772" w14:textId="77777777" w:rsidR="00E70773" w:rsidRPr="00E70773" w:rsidRDefault="00E70773" w:rsidP="00E70773">
            <w:pPr>
              <w:spacing w:after="120" w:line="240" w:lineRule="auto"/>
              <w:ind w:left="200"/>
              <w:rPr>
                <w:sz w:val="22"/>
                <w:szCs w:val="22"/>
              </w:rPr>
            </w:pPr>
            <w:r w:rsidRPr="00E70773">
              <w:rPr>
                <w:sz w:val="22"/>
                <w:szCs w:val="22"/>
              </w:rPr>
              <w:t>BMA DAB Act</w:t>
            </w:r>
          </w:p>
        </w:tc>
        <w:tc>
          <w:tcPr>
            <w:tcW w:w="0" w:type="auto"/>
            <w:tcBorders>
              <w:top w:val="single" w:sz="6" w:space="0" w:color="auto"/>
              <w:left w:val="single" w:sz="6" w:space="0" w:color="auto"/>
              <w:bottom w:val="single" w:sz="6" w:space="0" w:color="auto"/>
              <w:right w:val="single" w:sz="6" w:space="0" w:color="auto"/>
            </w:tcBorders>
            <w:vAlign w:val="center"/>
            <w:hideMark/>
          </w:tcPr>
          <w:p w14:paraId="177C4F77" w14:textId="77777777" w:rsidR="00E70773" w:rsidRPr="00E70773" w:rsidRDefault="00E70773" w:rsidP="00E70773">
            <w:pPr>
              <w:spacing w:after="120" w:line="240" w:lineRule="auto"/>
              <w:ind w:left="200"/>
              <w:rPr>
                <w:sz w:val="22"/>
                <w:szCs w:val="22"/>
              </w:rPr>
            </w:pPr>
            <w:r w:rsidRPr="00E70773">
              <w:rPr>
                <w:sz w:val="22"/>
                <w:szCs w:val="22"/>
              </w:rPr>
              <w:t>Bermuda Cloud Standalone</w:t>
            </w:r>
          </w:p>
        </w:tc>
      </w:tr>
    </w:tbl>
    <w:p w14:paraId="6187FF6D" w14:textId="0CC71D77" w:rsidR="008D74E7" w:rsidRPr="000A6950" w:rsidRDefault="008D74E7" w:rsidP="000A6950">
      <w:pPr>
        <w:pStyle w:val="ListParagraph"/>
        <w:numPr>
          <w:ilvl w:val="1"/>
          <w:numId w:val="20"/>
        </w:numPr>
        <w:tabs>
          <w:tab w:val="clear" w:pos="1440"/>
        </w:tabs>
        <w:spacing w:before="120" w:after="120" w:line="240" w:lineRule="auto"/>
        <w:ind w:left="180" w:hanging="180"/>
        <w:rPr>
          <w:b/>
          <w:bCs/>
          <w:sz w:val="22"/>
          <w:szCs w:val="22"/>
        </w:rPr>
      </w:pPr>
      <w:r w:rsidRPr="000A6950">
        <w:rPr>
          <w:b/>
          <w:bCs/>
          <w:sz w:val="22"/>
          <w:szCs w:val="22"/>
        </w:rPr>
        <w:t>Ensuring MTPD Alignment (The 24-Hour Rule)</w:t>
      </w:r>
    </w:p>
    <w:p w14:paraId="395EF4E8" w14:textId="77777777" w:rsidR="008D74E7" w:rsidRPr="008D74E7" w:rsidRDefault="008D74E7" w:rsidP="008D74E7">
      <w:pPr>
        <w:spacing w:after="120" w:line="240" w:lineRule="auto"/>
        <w:rPr>
          <w:sz w:val="22"/>
          <w:szCs w:val="22"/>
        </w:rPr>
      </w:pPr>
      <w:r w:rsidRPr="008D74E7">
        <w:rPr>
          <w:sz w:val="22"/>
          <w:szCs w:val="22"/>
        </w:rPr>
        <w:t xml:space="preserve">The </w:t>
      </w:r>
      <w:r w:rsidRPr="008D74E7">
        <w:rPr>
          <w:b/>
          <w:bCs/>
          <w:sz w:val="22"/>
          <w:szCs w:val="22"/>
        </w:rPr>
        <w:t>BMA 2025 Operational Resilience Code</w:t>
      </w:r>
      <w:r w:rsidRPr="008D74E7">
        <w:rPr>
          <w:sz w:val="22"/>
          <w:szCs w:val="22"/>
        </w:rPr>
        <w:t xml:space="preserve"> mandates that you prove you can recover within your stated </w:t>
      </w:r>
      <w:r w:rsidRPr="008D74E7">
        <w:rPr>
          <w:b/>
          <w:bCs/>
          <w:sz w:val="22"/>
          <w:szCs w:val="22"/>
        </w:rPr>
        <w:t>Maximum Tolerable Period of Disruption (MTPD)</w:t>
      </w:r>
      <w:r w:rsidRPr="008D74E7">
        <w:rPr>
          <w:sz w:val="22"/>
          <w:szCs w:val="22"/>
        </w:rPr>
        <w:t xml:space="preserve">. Documentation alone is no longer a defense; you must conduct </w:t>
      </w:r>
      <w:r w:rsidRPr="008D74E7">
        <w:rPr>
          <w:b/>
          <w:bCs/>
          <w:sz w:val="22"/>
          <w:szCs w:val="22"/>
        </w:rPr>
        <w:t>Live-Fire Exercises</w:t>
      </w:r>
      <w:r w:rsidRPr="008D74E7">
        <w:rPr>
          <w:sz w:val="22"/>
          <w:szCs w:val="22"/>
        </w:rPr>
        <w:t>.</w:t>
      </w:r>
    </w:p>
    <w:p w14:paraId="0AE628DF" w14:textId="77777777" w:rsidR="008D74E7" w:rsidRPr="008D74E7" w:rsidRDefault="008D74E7" w:rsidP="008D74E7">
      <w:pPr>
        <w:numPr>
          <w:ilvl w:val="0"/>
          <w:numId w:val="23"/>
        </w:numPr>
        <w:spacing w:after="120" w:line="240" w:lineRule="auto"/>
        <w:rPr>
          <w:sz w:val="22"/>
          <w:szCs w:val="22"/>
        </w:rPr>
      </w:pPr>
      <w:r w:rsidRPr="008D74E7">
        <w:rPr>
          <w:b/>
          <w:bCs/>
          <w:sz w:val="22"/>
          <w:szCs w:val="22"/>
        </w:rPr>
        <w:t>The Annual "Blackout" Simulation:</w:t>
      </w:r>
      <w:r w:rsidRPr="008D74E7">
        <w:rPr>
          <w:sz w:val="22"/>
          <w:szCs w:val="22"/>
        </w:rPr>
        <w:t xml:space="preserve"> Conduct a yearly scheduled failover where you simulate the total loss of the USA and Switzerland hubs. You must demonstrate that the </w:t>
      </w:r>
      <w:r w:rsidRPr="008D74E7">
        <w:rPr>
          <w:b/>
          <w:bCs/>
          <w:sz w:val="22"/>
          <w:szCs w:val="22"/>
        </w:rPr>
        <w:t>Bermuda Resilience Anchor</w:t>
      </w:r>
      <w:r w:rsidRPr="008D74E7">
        <w:rPr>
          <w:sz w:val="22"/>
          <w:szCs w:val="22"/>
        </w:rPr>
        <w:t xml:space="preserve"> can resume "Important Business Services" (IBS) within the 4-hour RTO and maintain operations for the duration of the 24-hour MTPD.</w:t>
      </w:r>
    </w:p>
    <w:p w14:paraId="3ABABC84" w14:textId="77777777" w:rsidR="008D74E7" w:rsidRPr="008D74E7" w:rsidRDefault="008D74E7" w:rsidP="008D74E7">
      <w:pPr>
        <w:numPr>
          <w:ilvl w:val="0"/>
          <w:numId w:val="23"/>
        </w:numPr>
        <w:spacing w:after="120" w:line="240" w:lineRule="auto"/>
        <w:rPr>
          <w:sz w:val="22"/>
          <w:szCs w:val="22"/>
        </w:rPr>
      </w:pPr>
      <w:r w:rsidRPr="008D74E7">
        <w:rPr>
          <w:b/>
          <w:bCs/>
          <w:sz w:val="22"/>
          <w:szCs w:val="22"/>
        </w:rPr>
        <w:t>Proof of Testing (The Evidence Pack):</w:t>
      </w:r>
      <w:r w:rsidRPr="008D74E7">
        <w:rPr>
          <w:sz w:val="22"/>
          <w:szCs w:val="22"/>
        </w:rPr>
        <w:t xml:space="preserve"> After each test, produce an </w:t>
      </w:r>
      <w:r w:rsidRPr="008D74E7">
        <w:rPr>
          <w:b/>
          <w:bCs/>
          <w:sz w:val="22"/>
          <w:szCs w:val="22"/>
        </w:rPr>
        <w:t>Operational Resilience Validation Report</w:t>
      </w:r>
      <w:r w:rsidRPr="008D74E7">
        <w:rPr>
          <w:sz w:val="22"/>
          <w:szCs w:val="22"/>
        </w:rPr>
        <w:t>. This should include:</w:t>
      </w:r>
    </w:p>
    <w:p w14:paraId="28DEF510" w14:textId="77777777" w:rsidR="008D74E7" w:rsidRPr="008D74E7" w:rsidRDefault="008D74E7" w:rsidP="008D74E7">
      <w:pPr>
        <w:numPr>
          <w:ilvl w:val="1"/>
          <w:numId w:val="23"/>
        </w:numPr>
        <w:spacing w:after="120" w:line="240" w:lineRule="auto"/>
        <w:rPr>
          <w:sz w:val="22"/>
          <w:szCs w:val="22"/>
        </w:rPr>
      </w:pPr>
      <w:r w:rsidRPr="008D74E7">
        <w:rPr>
          <w:b/>
          <w:bCs/>
          <w:sz w:val="22"/>
          <w:szCs w:val="22"/>
        </w:rPr>
        <w:t>Timestamped Logs:</w:t>
      </w:r>
      <w:r w:rsidRPr="008D74E7">
        <w:rPr>
          <w:sz w:val="22"/>
          <w:szCs w:val="22"/>
        </w:rPr>
        <w:t xml:space="preserve"> Proof of the exact moment the failover was triggered and when services were restored.</w:t>
      </w:r>
    </w:p>
    <w:p w14:paraId="0C6C29E0" w14:textId="77777777" w:rsidR="008D74E7" w:rsidRPr="008D74E7" w:rsidRDefault="008D74E7" w:rsidP="008D74E7">
      <w:pPr>
        <w:numPr>
          <w:ilvl w:val="1"/>
          <w:numId w:val="23"/>
        </w:numPr>
        <w:spacing w:after="120" w:line="240" w:lineRule="auto"/>
        <w:rPr>
          <w:sz w:val="22"/>
          <w:szCs w:val="22"/>
        </w:rPr>
      </w:pPr>
      <w:r w:rsidRPr="008D74E7">
        <w:rPr>
          <w:b/>
          <w:bCs/>
          <w:sz w:val="22"/>
          <w:szCs w:val="22"/>
        </w:rPr>
        <w:t>Data Integrity Check:</w:t>
      </w:r>
      <w:r w:rsidRPr="008D74E7">
        <w:rPr>
          <w:sz w:val="22"/>
          <w:szCs w:val="22"/>
        </w:rPr>
        <w:t xml:space="preserve"> Validation that the </w:t>
      </w:r>
      <w:r w:rsidRPr="008D74E7">
        <w:rPr>
          <w:b/>
          <w:bCs/>
          <w:sz w:val="22"/>
          <w:szCs w:val="22"/>
        </w:rPr>
        <w:t>Bermuda Shadow Audit Vault</w:t>
      </w:r>
      <w:r w:rsidRPr="008D74E7">
        <w:rPr>
          <w:sz w:val="22"/>
          <w:szCs w:val="22"/>
        </w:rPr>
        <w:t xml:space="preserve"> is 100% consistent with the pre-failure state.</w:t>
      </w:r>
    </w:p>
    <w:p w14:paraId="2C8F3FA8" w14:textId="77777777" w:rsidR="008D74E7" w:rsidRPr="008D74E7" w:rsidRDefault="008D74E7" w:rsidP="008D74E7">
      <w:pPr>
        <w:numPr>
          <w:ilvl w:val="1"/>
          <w:numId w:val="23"/>
        </w:numPr>
        <w:spacing w:after="120" w:line="240" w:lineRule="auto"/>
        <w:rPr>
          <w:sz w:val="22"/>
          <w:szCs w:val="22"/>
        </w:rPr>
      </w:pPr>
      <w:r w:rsidRPr="008D74E7">
        <w:rPr>
          <w:b/>
          <w:bCs/>
          <w:sz w:val="22"/>
          <w:szCs w:val="22"/>
        </w:rPr>
        <w:t>Independent Observer:</w:t>
      </w:r>
      <w:r w:rsidRPr="008D74E7">
        <w:rPr>
          <w:sz w:val="22"/>
          <w:szCs w:val="22"/>
        </w:rPr>
        <w:t xml:space="preserve"> Invite a third-party auditor (e.g., Deloitte or a BMA-approved firm) to witness the test. This transforms your "claim" into a "certified fact."</w:t>
      </w:r>
    </w:p>
    <w:p w14:paraId="59D2B938" w14:textId="77777777" w:rsidR="008D74E7" w:rsidRPr="008D74E7" w:rsidRDefault="008D74E7" w:rsidP="008D74E7">
      <w:pPr>
        <w:spacing w:after="120" w:line="240" w:lineRule="auto"/>
        <w:rPr>
          <w:b/>
          <w:bCs/>
          <w:sz w:val="22"/>
          <w:szCs w:val="22"/>
        </w:rPr>
      </w:pPr>
      <w:r w:rsidRPr="008D74E7">
        <w:rPr>
          <w:b/>
          <w:bCs/>
          <w:sz w:val="22"/>
          <w:szCs w:val="22"/>
        </w:rPr>
        <w:t>2. Implementing the Stressed Exit (The 2-of-3 MPC Veto)</w:t>
      </w:r>
    </w:p>
    <w:p w14:paraId="041887DE" w14:textId="06D62756" w:rsidR="008D74E7" w:rsidRDefault="008D74E7" w:rsidP="008D74E7">
      <w:pPr>
        <w:spacing w:after="120" w:line="240" w:lineRule="auto"/>
        <w:rPr>
          <w:sz w:val="22"/>
          <w:szCs w:val="22"/>
        </w:rPr>
      </w:pPr>
      <w:r w:rsidRPr="008D74E7">
        <w:rPr>
          <w:b/>
          <w:bCs/>
          <w:sz w:val="22"/>
          <w:szCs w:val="22"/>
        </w:rPr>
        <w:t>Stressed Exit</w:t>
      </w:r>
      <w:r w:rsidRPr="008D74E7">
        <w:rPr>
          <w:sz w:val="22"/>
          <w:szCs w:val="22"/>
        </w:rPr>
        <w:t xml:space="preserve"> ensures that GSCX can move assets or shut down operations even if one jurisdiction becomes "rogue" or physically inaccessible. Utilizing </w:t>
      </w:r>
      <w:r w:rsidRPr="008D74E7">
        <w:rPr>
          <w:b/>
          <w:bCs/>
          <w:sz w:val="22"/>
          <w:szCs w:val="22"/>
        </w:rPr>
        <w:t>Multi-Party Computation (MPC)</w:t>
      </w:r>
      <w:r w:rsidRPr="008D74E7">
        <w:rPr>
          <w:sz w:val="22"/>
          <w:szCs w:val="22"/>
        </w:rPr>
        <w:t xml:space="preserve"> is the most advanced way to achieve this.</w:t>
      </w:r>
    </w:p>
    <w:p w14:paraId="3C21000D" w14:textId="260F5438" w:rsidR="008D74E7" w:rsidRPr="000A6950" w:rsidRDefault="008D74E7" w:rsidP="008D74E7">
      <w:pPr>
        <w:spacing w:after="120" w:line="240" w:lineRule="auto"/>
        <w:rPr>
          <w:b/>
          <w:bCs/>
          <w:sz w:val="22"/>
          <w:szCs w:val="22"/>
        </w:rPr>
      </w:pPr>
      <w:r w:rsidRPr="000A6950">
        <w:rPr>
          <w:b/>
          <w:bCs/>
          <w:sz w:val="22"/>
          <w:szCs w:val="22"/>
        </w:rPr>
        <w:t>Shard Distribution Logic</w:t>
      </w:r>
    </w:p>
    <w:p w14:paraId="590BD999" w14:textId="77777777" w:rsidR="008D74E7" w:rsidRPr="008D74E7" w:rsidRDefault="008D74E7" w:rsidP="000A6950">
      <w:pPr>
        <w:spacing w:after="120" w:line="240" w:lineRule="auto"/>
        <w:rPr>
          <w:sz w:val="22"/>
          <w:szCs w:val="22"/>
        </w:rPr>
      </w:pPr>
      <w:r w:rsidRPr="008D74E7">
        <w:rPr>
          <w:sz w:val="22"/>
          <w:szCs w:val="22"/>
        </w:rPr>
        <w:t>To ensure the "Bermuda Veto" is absolute, distribute the private key shards as follows:</w:t>
      </w:r>
    </w:p>
    <w:p w14:paraId="36A7AB7C" w14:textId="77777777" w:rsidR="008D74E7" w:rsidRPr="008D74E7" w:rsidRDefault="008D74E7" w:rsidP="000A6950">
      <w:pPr>
        <w:numPr>
          <w:ilvl w:val="0"/>
          <w:numId w:val="24"/>
        </w:numPr>
        <w:spacing w:after="120" w:line="240" w:lineRule="auto"/>
        <w:rPr>
          <w:sz w:val="22"/>
          <w:szCs w:val="22"/>
        </w:rPr>
      </w:pPr>
      <w:r w:rsidRPr="008D74E7">
        <w:rPr>
          <w:b/>
          <w:bCs/>
          <w:sz w:val="22"/>
          <w:szCs w:val="22"/>
        </w:rPr>
        <w:t>Shard 1 (USA):</w:t>
      </w:r>
      <w:r w:rsidRPr="008D74E7">
        <w:rPr>
          <w:sz w:val="22"/>
          <w:szCs w:val="22"/>
        </w:rPr>
        <w:t xml:space="preserve"> Hosted on IBM LinuxONE in the Americas Hub.</w:t>
      </w:r>
    </w:p>
    <w:p w14:paraId="596A72E9" w14:textId="77777777" w:rsidR="008D74E7" w:rsidRPr="008D74E7" w:rsidRDefault="008D74E7" w:rsidP="000A6950">
      <w:pPr>
        <w:numPr>
          <w:ilvl w:val="0"/>
          <w:numId w:val="24"/>
        </w:numPr>
        <w:spacing w:after="120" w:line="240" w:lineRule="auto"/>
        <w:rPr>
          <w:sz w:val="22"/>
          <w:szCs w:val="22"/>
        </w:rPr>
      </w:pPr>
      <w:r w:rsidRPr="008D74E7">
        <w:rPr>
          <w:b/>
          <w:bCs/>
          <w:sz w:val="22"/>
          <w:szCs w:val="22"/>
        </w:rPr>
        <w:t>Shard 2 (Switzerland):</w:t>
      </w:r>
      <w:r w:rsidRPr="008D74E7">
        <w:rPr>
          <w:sz w:val="22"/>
          <w:szCs w:val="22"/>
        </w:rPr>
        <w:t xml:space="preserve"> Hosted on IBM LinuxONE in the EMEA/APAC Hub.</w:t>
      </w:r>
    </w:p>
    <w:p w14:paraId="57A56402" w14:textId="65E8A0A4" w:rsidR="00C27AE8" w:rsidRPr="007C2C6E" w:rsidRDefault="008D74E7" w:rsidP="000A6950">
      <w:pPr>
        <w:numPr>
          <w:ilvl w:val="0"/>
          <w:numId w:val="24"/>
        </w:numPr>
        <w:spacing w:after="120" w:line="240" w:lineRule="auto"/>
        <w:rPr>
          <w:sz w:val="22"/>
          <w:szCs w:val="22"/>
        </w:rPr>
      </w:pPr>
      <w:r w:rsidRPr="008D74E7">
        <w:rPr>
          <w:b/>
          <w:bCs/>
          <w:sz w:val="22"/>
          <w:szCs w:val="22"/>
        </w:rPr>
        <w:t>Shard 3 (Bermuda):</w:t>
      </w:r>
      <w:r w:rsidRPr="008D74E7">
        <w:rPr>
          <w:sz w:val="22"/>
          <w:szCs w:val="22"/>
        </w:rPr>
        <w:t xml:space="preserve"> Hosted in a Secure Enclave in the Bermuda Cloud (BMA Nexus).</w:t>
      </w:r>
    </w:p>
    <w:p w14:paraId="6D96A277" w14:textId="2867AED6" w:rsidR="008D74E7" w:rsidRPr="008D74E7" w:rsidRDefault="008D74E7" w:rsidP="008D74E7">
      <w:pPr>
        <w:spacing w:after="120" w:line="240" w:lineRule="auto"/>
        <w:rPr>
          <w:b/>
          <w:bCs/>
          <w:sz w:val="22"/>
          <w:szCs w:val="22"/>
        </w:rPr>
      </w:pPr>
      <w:r w:rsidRPr="008D74E7">
        <w:rPr>
          <w:b/>
          <w:bCs/>
          <w:sz w:val="22"/>
          <w:szCs w:val="22"/>
        </w:rPr>
        <w:t>"Ultimate Institutional Moat"</w:t>
      </w:r>
    </w:p>
    <w:p w14:paraId="46E3900A" w14:textId="03E693BA" w:rsidR="008D74E7" w:rsidRPr="008D74E7" w:rsidRDefault="008D74E7" w:rsidP="008D74E7">
      <w:pPr>
        <w:numPr>
          <w:ilvl w:val="0"/>
          <w:numId w:val="25"/>
        </w:numPr>
        <w:spacing w:after="120" w:line="240" w:lineRule="auto"/>
        <w:rPr>
          <w:sz w:val="22"/>
          <w:szCs w:val="22"/>
        </w:rPr>
      </w:pPr>
      <w:r w:rsidRPr="008D74E7">
        <w:rPr>
          <w:b/>
          <w:bCs/>
          <w:sz w:val="22"/>
          <w:szCs w:val="22"/>
        </w:rPr>
        <w:t>Veto Power:</w:t>
      </w:r>
      <w:r w:rsidRPr="008D74E7">
        <w:rPr>
          <w:sz w:val="22"/>
          <w:szCs w:val="22"/>
        </w:rPr>
        <w:t xml:space="preserve"> Since a </w:t>
      </w:r>
      <w:r w:rsidRPr="008D74E7">
        <w:rPr>
          <w:b/>
          <w:bCs/>
          <w:sz w:val="22"/>
          <w:szCs w:val="22"/>
        </w:rPr>
        <w:t>2-of-3 signature</w:t>
      </w:r>
      <w:r w:rsidRPr="008D74E7">
        <w:rPr>
          <w:sz w:val="22"/>
          <w:szCs w:val="22"/>
        </w:rPr>
        <w:t xml:space="preserve"> is required to move assets or change the ledger, no single government (US or Swiss) can compel GSCX to move funds. They only hold 1 of the 3 necessary keys.</w:t>
      </w:r>
    </w:p>
    <w:p w14:paraId="23199D30" w14:textId="7D9DD3B3" w:rsidR="008D74E7" w:rsidRPr="008D74E7" w:rsidRDefault="008D74E7" w:rsidP="008D74E7">
      <w:pPr>
        <w:numPr>
          <w:ilvl w:val="0"/>
          <w:numId w:val="25"/>
        </w:numPr>
        <w:spacing w:after="120" w:line="240" w:lineRule="auto"/>
        <w:rPr>
          <w:sz w:val="22"/>
          <w:szCs w:val="22"/>
        </w:rPr>
      </w:pPr>
      <w:r w:rsidRPr="008D74E7">
        <w:rPr>
          <w:b/>
          <w:bCs/>
          <w:sz w:val="22"/>
          <w:szCs w:val="22"/>
        </w:rPr>
        <w:t>BMA Control:</w:t>
      </w:r>
      <w:r w:rsidRPr="008D74E7">
        <w:rPr>
          <w:sz w:val="22"/>
          <w:szCs w:val="22"/>
        </w:rPr>
        <w:t xml:space="preserve"> By requiring the </w:t>
      </w:r>
      <w:r w:rsidRPr="008D74E7">
        <w:rPr>
          <w:b/>
          <w:bCs/>
          <w:sz w:val="22"/>
          <w:szCs w:val="22"/>
        </w:rPr>
        <w:t>Bermuda Shard</w:t>
      </w:r>
      <w:r w:rsidRPr="008D74E7">
        <w:rPr>
          <w:sz w:val="22"/>
          <w:szCs w:val="22"/>
        </w:rPr>
        <w:t xml:space="preserve"> for any "Stressed Exit" or emergency liquidation, you prove to the BMA that they have the "Golden Key." If the US hub is seized, GSCX pairs the </w:t>
      </w:r>
      <w:r w:rsidRPr="008D74E7">
        <w:rPr>
          <w:b/>
          <w:bCs/>
          <w:sz w:val="22"/>
          <w:szCs w:val="22"/>
        </w:rPr>
        <w:t>Swiss Shard</w:t>
      </w:r>
      <w:r w:rsidRPr="008D74E7">
        <w:rPr>
          <w:sz w:val="22"/>
          <w:szCs w:val="22"/>
        </w:rPr>
        <w:t xml:space="preserve"> with the </w:t>
      </w:r>
      <w:r w:rsidRPr="008D74E7">
        <w:rPr>
          <w:b/>
          <w:bCs/>
          <w:sz w:val="22"/>
          <w:szCs w:val="22"/>
        </w:rPr>
        <w:t>Bermuda Shard</w:t>
      </w:r>
      <w:r w:rsidRPr="008D74E7">
        <w:rPr>
          <w:sz w:val="22"/>
          <w:szCs w:val="22"/>
        </w:rPr>
        <w:t xml:space="preserve"> to maintain continuity.</w:t>
      </w:r>
    </w:p>
    <w:p w14:paraId="28AFEDD7" w14:textId="77777777" w:rsidR="008D74E7" w:rsidRDefault="008D74E7" w:rsidP="008D74E7">
      <w:pPr>
        <w:numPr>
          <w:ilvl w:val="0"/>
          <w:numId w:val="25"/>
        </w:numPr>
        <w:spacing w:after="120" w:line="240" w:lineRule="auto"/>
        <w:rPr>
          <w:sz w:val="22"/>
          <w:szCs w:val="22"/>
        </w:rPr>
      </w:pPr>
      <w:r w:rsidRPr="008D74E7">
        <w:rPr>
          <w:b/>
          <w:bCs/>
          <w:sz w:val="22"/>
          <w:szCs w:val="22"/>
        </w:rPr>
        <w:t>Sovereign Protection:</w:t>
      </w:r>
      <w:r w:rsidRPr="008D74E7">
        <w:rPr>
          <w:sz w:val="22"/>
          <w:szCs w:val="22"/>
        </w:rPr>
        <w:t xml:space="preserve"> For a Saudi or UAE Sovereign Wealth Fund, this confirms that the U.S. government cannot unilaterally freeze their assets, as the U.S. node is mathematically incapable of signing a transaction without the Swiss or Bermuda nodes.</w:t>
      </w:r>
    </w:p>
    <w:p w14:paraId="08B897F0" w14:textId="3F9D4883" w:rsidR="000A6950" w:rsidRPr="000A6950" w:rsidRDefault="008D74E7" w:rsidP="000A6950">
      <w:pPr>
        <w:spacing w:before="120" w:after="120" w:line="240" w:lineRule="auto"/>
        <w:rPr>
          <w:b/>
          <w:bCs/>
          <w:sz w:val="22"/>
          <w:szCs w:val="22"/>
        </w:rPr>
      </w:pPr>
      <w:r w:rsidRPr="000A6950">
        <w:rPr>
          <w:b/>
          <w:bCs/>
          <w:sz w:val="22"/>
          <w:szCs w:val="22"/>
        </w:rPr>
        <w:t xml:space="preserve">3. </w:t>
      </w:r>
      <w:r w:rsidR="000A6950" w:rsidRPr="000A6950">
        <w:rPr>
          <w:b/>
          <w:bCs/>
          <w:sz w:val="22"/>
          <w:szCs w:val="22"/>
        </w:rPr>
        <w:t xml:space="preserve">GSCX </w:t>
      </w:r>
      <w:r w:rsidR="000A6950">
        <w:rPr>
          <w:b/>
          <w:bCs/>
          <w:sz w:val="22"/>
          <w:szCs w:val="22"/>
        </w:rPr>
        <w:t>S</w:t>
      </w:r>
      <w:r w:rsidRPr="000A6950">
        <w:rPr>
          <w:b/>
          <w:bCs/>
          <w:sz w:val="22"/>
          <w:szCs w:val="22"/>
        </w:rPr>
        <w:t xml:space="preserve">trategic Narrative </w:t>
      </w:r>
      <w:r w:rsidR="000A6950" w:rsidRPr="000A6950">
        <w:rPr>
          <w:b/>
          <w:bCs/>
          <w:sz w:val="22"/>
          <w:szCs w:val="22"/>
        </w:rPr>
        <w:t>and Advantage</w:t>
      </w:r>
    </w:p>
    <w:p w14:paraId="0884CB43" w14:textId="77777777" w:rsidR="000A6950" w:rsidRDefault="008D74E7" w:rsidP="008D74E7">
      <w:pPr>
        <w:spacing w:after="120" w:line="240" w:lineRule="auto"/>
        <w:rPr>
          <w:sz w:val="22"/>
          <w:szCs w:val="22"/>
        </w:rPr>
      </w:pPr>
      <w:r w:rsidRPr="008D74E7">
        <w:rPr>
          <w:sz w:val="22"/>
          <w:szCs w:val="22"/>
        </w:rPr>
        <w:lastRenderedPageBreak/>
        <w:t xml:space="preserve">GSCX employs a </w:t>
      </w:r>
      <w:r w:rsidRPr="008D74E7">
        <w:rPr>
          <w:b/>
          <w:bCs/>
          <w:sz w:val="22"/>
          <w:szCs w:val="22"/>
        </w:rPr>
        <w:t>2-of-3 Multi-Party Computation (MPC) Shard Protocol</w:t>
      </w:r>
      <w:r w:rsidRPr="008D74E7">
        <w:rPr>
          <w:sz w:val="22"/>
          <w:szCs w:val="22"/>
        </w:rPr>
        <w:t xml:space="preserve"> to ensure jurisdictional independence. Key shards are sequestered in the USA, Switzerland, and Bermuda. Any movement of assets requires a minimum of two shards. By ensuring the </w:t>
      </w:r>
      <w:r w:rsidRPr="008D74E7">
        <w:rPr>
          <w:b/>
          <w:bCs/>
          <w:sz w:val="22"/>
          <w:szCs w:val="22"/>
        </w:rPr>
        <w:t>Bermuda Shard</w:t>
      </w:r>
      <w:r w:rsidRPr="008D74E7">
        <w:rPr>
          <w:sz w:val="22"/>
          <w:szCs w:val="22"/>
        </w:rPr>
        <w:t xml:space="preserve"> is a mandatory participant in emergency recovery protocols, GSCX grants the Bermuda entity an absolute </w:t>
      </w:r>
      <w:r w:rsidRPr="008D74E7">
        <w:rPr>
          <w:b/>
          <w:bCs/>
          <w:sz w:val="22"/>
          <w:szCs w:val="22"/>
        </w:rPr>
        <w:t>Regulatory Veto</w:t>
      </w:r>
      <w:r w:rsidRPr="008D74E7">
        <w:rPr>
          <w:sz w:val="22"/>
          <w:szCs w:val="22"/>
        </w:rPr>
        <w:t xml:space="preserve">. </w:t>
      </w:r>
    </w:p>
    <w:p w14:paraId="3C4DE7C1" w14:textId="6A16D20A" w:rsidR="008D74E7" w:rsidRPr="008D74E7" w:rsidRDefault="008D74E7" w:rsidP="008D74E7">
      <w:pPr>
        <w:spacing w:after="120" w:line="240" w:lineRule="auto"/>
        <w:rPr>
          <w:sz w:val="22"/>
          <w:szCs w:val="22"/>
        </w:rPr>
      </w:pPr>
      <w:r w:rsidRPr="008D74E7">
        <w:rPr>
          <w:sz w:val="22"/>
          <w:szCs w:val="22"/>
        </w:rPr>
        <w:t>This architecture ensures that even in a 'Stressed Exit' scenario</w:t>
      </w:r>
      <w:r w:rsidR="000A6950">
        <w:rPr>
          <w:sz w:val="22"/>
          <w:szCs w:val="22"/>
        </w:rPr>
        <w:t xml:space="preserve">, </w:t>
      </w:r>
      <w:r w:rsidRPr="008D74E7">
        <w:rPr>
          <w:sz w:val="22"/>
          <w:szCs w:val="22"/>
        </w:rPr>
        <w:t>where a specific jurisdiction attempts to seize or freeze assets</w:t>
      </w:r>
      <w:r w:rsidR="000A6950">
        <w:rPr>
          <w:sz w:val="22"/>
          <w:szCs w:val="22"/>
        </w:rPr>
        <w:t xml:space="preserve">, </w:t>
      </w:r>
      <w:r w:rsidRPr="008D74E7">
        <w:rPr>
          <w:sz w:val="22"/>
          <w:szCs w:val="22"/>
        </w:rPr>
        <w:t>the BMA-regulated entity retains the legal and technical power to protect client interests by pairing the Bermuda shard with the remaining neutral node (Switzerland)."</w:t>
      </w:r>
    </w:p>
    <w:p w14:paraId="629C0EF3" w14:textId="77777777" w:rsidR="008D74E7" w:rsidRPr="008D74E7" w:rsidRDefault="008D74E7" w:rsidP="008D74E7">
      <w:pPr>
        <w:spacing w:after="120" w:line="240" w:lineRule="auto"/>
        <w:rPr>
          <w:b/>
          <w:bCs/>
          <w:sz w:val="22"/>
          <w:szCs w:val="22"/>
        </w:rPr>
      </w:pPr>
      <w:r w:rsidRPr="008D74E7">
        <w:rPr>
          <w:b/>
          <w:bCs/>
          <w:sz w:val="22"/>
          <w:szCs w:val="22"/>
        </w:rPr>
        <w:t>Summary Table: Resilience Validation</w:t>
      </w:r>
    </w:p>
    <w:tbl>
      <w:tblPr>
        <w:tblW w:w="9532" w:type="dxa"/>
        <w:tblCellSpacing w:w="15" w:type="dxa"/>
        <w:tblCellMar>
          <w:top w:w="15" w:type="dxa"/>
          <w:left w:w="15" w:type="dxa"/>
          <w:bottom w:w="15" w:type="dxa"/>
          <w:right w:w="15" w:type="dxa"/>
        </w:tblCellMar>
        <w:tblLook w:val="04A0" w:firstRow="1" w:lastRow="0" w:firstColumn="1" w:lastColumn="0" w:noHBand="0" w:noVBand="1"/>
      </w:tblPr>
      <w:tblGrid>
        <w:gridCol w:w="1792"/>
        <w:gridCol w:w="1710"/>
        <w:gridCol w:w="6030"/>
      </w:tblGrid>
      <w:tr w:rsidR="008D74E7" w:rsidRPr="008D74E7" w14:paraId="3CEDC277" w14:textId="77777777" w:rsidTr="00CC2878">
        <w:trPr>
          <w:tblHeader/>
          <w:tblCellSpacing w:w="15" w:type="dxa"/>
        </w:trPr>
        <w:tc>
          <w:tcPr>
            <w:tcW w:w="1747" w:type="dxa"/>
            <w:tcBorders>
              <w:top w:val="single" w:sz="6" w:space="0" w:color="auto"/>
              <w:left w:val="single" w:sz="6" w:space="0" w:color="auto"/>
              <w:bottom w:val="single" w:sz="6" w:space="0" w:color="auto"/>
              <w:right w:val="single" w:sz="6" w:space="0" w:color="auto"/>
            </w:tcBorders>
            <w:vAlign w:val="center"/>
            <w:hideMark/>
          </w:tcPr>
          <w:p w14:paraId="17F6619D" w14:textId="77777777" w:rsidR="008D74E7" w:rsidRPr="008D74E7" w:rsidRDefault="008D74E7" w:rsidP="008D74E7">
            <w:pPr>
              <w:spacing w:after="120" w:line="240" w:lineRule="auto"/>
              <w:ind w:left="110"/>
              <w:rPr>
                <w:sz w:val="22"/>
                <w:szCs w:val="22"/>
              </w:rPr>
            </w:pPr>
            <w:r w:rsidRPr="008D74E7">
              <w:rPr>
                <w:b/>
                <w:bCs/>
                <w:sz w:val="22"/>
                <w:szCs w:val="22"/>
              </w:rPr>
              <w:t>Feature</w:t>
            </w:r>
          </w:p>
        </w:tc>
        <w:tc>
          <w:tcPr>
            <w:tcW w:w="1680" w:type="dxa"/>
            <w:tcBorders>
              <w:top w:val="single" w:sz="6" w:space="0" w:color="auto"/>
              <w:left w:val="single" w:sz="6" w:space="0" w:color="auto"/>
              <w:bottom w:val="single" w:sz="6" w:space="0" w:color="auto"/>
              <w:right w:val="single" w:sz="6" w:space="0" w:color="auto"/>
            </w:tcBorders>
            <w:vAlign w:val="center"/>
            <w:hideMark/>
          </w:tcPr>
          <w:p w14:paraId="620B75A3" w14:textId="77777777" w:rsidR="008D74E7" w:rsidRPr="008D74E7" w:rsidRDefault="008D74E7" w:rsidP="008D74E7">
            <w:pPr>
              <w:spacing w:after="120" w:line="240" w:lineRule="auto"/>
              <w:ind w:left="110"/>
              <w:rPr>
                <w:sz w:val="22"/>
                <w:szCs w:val="22"/>
              </w:rPr>
            </w:pPr>
            <w:r w:rsidRPr="008D74E7">
              <w:rPr>
                <w:b/>
                <w:bCs/>
                <w:sz w:val="22"/>
                <w:szCs w:val="22"/>
              </w:rPr>
              <w:t>Requirement</w:t>
            </w:r>
          </w:p>
        </w:tc>
        <w:tc>
          <w:tcPr>
            <w:tcW w:w="5985" w:type="dxa"/>
            <w:tcBorders>
              <w:top w:val="single" w:sz="6" w:space="0" w:color="auto"/>
              <w:left w:val="single" w:sz="6" w:space="0" w:color="auto"/>
              <w:bottom w:val="single" w:sz="6" w:space="0" w:color="auto"/>
              <w:right w:val="single" w:sz="6" w:space="0" w:color="auto"/>
            </w:tcBorders>
            <w:vAlign w:val="center"/>
            <w:hideMark/>
          </w:tcPr>
          <w:p w14:paraId="6CACD17E" w14:textId="77777777" w:rsidR="008D74E7" w:rsidRPr="008D74E7" w:rsidRDefault="008D74E7" w:rsidP="008D74E7">
            <w:pPr>
              <w:spacing w:after="120" w:line="240" w:lineRule="auto"/>
              <w:ind w:left="110"/>
              <w:rPr>
                <w:sz w:val="22"/>
                <w:szCs w:val="22"/>
              </w:rPr>
            </w:pPr>
            <w:r w:rsidRPr="008D74E7">
              <w:rPr>
                <w:b/>
                <w:bCs/>
                <w:sz w:val="22"/>
                <w:szCs w:val="22"/>
              </w:rPr>
              <w:t>GSCX Implementation</w:t>
            </w:r>
          </w:p>
        </w:tc>
      </w:tr>
      <w:tr w:rsidR="008D74E7" w:rsidRPr="008D74E7" w14:paraId="0614602E" w14:textId="77777777" w:rsidTr="00CC2878">
        <w:trPr>
          <w:tblCellSpacing w:w="15" w:type="dxa"/>
        </w:trPr>
        <w:tc>
          <w:tcPr>
            <w:tcW w:w="1747" w:type="dxa"/>
            <w:tcBorders>
              <w:top w:val="single" w:sz="6" w:space="0" w:color="auto"/>
              <w:left w:val="single" w:sz="6" w:space="0" w:color="auto"/>
              <w:bottom w:val="single" w:sz="6" w:space="0" w:color="auto"/>
              <w:right w:val="single" w:sz="6" w:space="0" w:color="auto"/>
            </w:tcBorders>
            <w:vAlign w:val="center"/>
            <w:hideMark/>
          </w:tcPr>
          <w:p w14:paraId="084A1418" w14:textId="77777777" w:rsidR="008D74E7" w:rsidRPr="008D74E7" w:rsidRDefault="008D74E7" w:rsidP="008D74E7">
            <w:pPr>
              <w:spacing w:after="120" w:line="240" w:lineRule="auto"/>
              <w:ind w:left="110"/>
              <w:rPr>
                <w:sz w:val="22"/>
                <w:szCs w:val="22"/>
              </w:rPr>
            </w:pPr>
            <w:r w:rsidRPr="008D74E7">
              <w:rPr>
                <w:b/>
                <w:bCs/>
                <w:sz w:val="22"/>
                <w:szCs w:val="22"/>
              </w:rPr>
              <w:t>MTPD</w:t>
            </w:r>
          </w:p>
        </w:tc>
        <w:tc>
          <w:tcPr>
            <w:tcW w:w="1680" w:type="dxa"/>
            <w:tcBorders>
              <w:top w:val="single" w:sz="6" w:space="0" w:color="auto"/>
              <w:left w:val="single" w:sz="6" w:space="0" w:color="auto"/>
              <w:bottom w:val="single" w:sz="6" w:space="0" w:color="auto"/>
              <w:right w:val="single" w:sz="6" w:space="0" w:color="auto"/>
            </w:tcBorders>
            <w:vAlign w:val="center"/>
            <w:hideMark/>
          </w:tcPr>
          <w:p w14:paraId="1CF18D6D" w14:textId="77777777" w:rsidR="008D74E7" w:rsidRPr="008D74E7" w:rsidRDefault="008D74E7" w:rsidP="008D74E7">
            <w:pPr>
              <w:spacing w:after="120" w:line="240" w:lineRule="auto"/>
              <w:ind w:left="110"/>
              <w:rPr>
                <w:sz w:val="22"/>
                <w:szCs w:val="22"/>
              </w:rPr>
            </w:pPr>
            <w:r w:rsidRPr="008D74E7">
              <w:rPr>
                <w:sz w:val="22"/>
                <w:szCs w:val="22"/>
              </w:rPr>
              <w:t>24 Hours</w:t>
            </w:r>
          </w:p>
        </w:tc>
        <w:tc>
          <w:tcPr>
            <w:tcW w:w="5985" w:type="dxa"/>
            <w:tcBorders>
              <w:top w:val="single" w:sz="6" w:space="0" w:color="auto"/>
              <w:left w:val="single" w:sz="6" w:space="0" w:color="auto"/>
              <w:bottom w:val="single" w:sz="6" w:space="0" w:color="auto"/>
              <w:right w:val="single" w:sz="6" w:space="0" w:color="auto"/>
            </w:tcBorders>
            <w:vAlign w:val="center"/>
            <w:hideMark/>
          </w:tcPr>
          <w:p w14:paraId="79CB449E" w14:textId="77777777" w:rsidR="008D74E7" w:rsidRPr="008D74E7" w:rsidRDefault="008D74E7" w:rsidP="008D74E7">
            <w:pPr>
              <w:spacing w:after="120" w:line="240" w:lineRule="auto"/>
              <w:ind w:left="110"/>
              <w:rPr>
                <w:sz w:val="22"/>
                <w:szCs w:val="22"/>
              </w:rPr>
            </w:pPr>
            <w:r w:rsidRPr="008D74E7">
              <w:rPr>
                <w:sz w:val="22"/>
                <w:szCs w:val="22"/>
              </w:rPr>
              <w:t>Annual Live-Fire Failover to Bermuda Anchor.</w:t>
            </w:r>
          </w:p>
        </w:tc>
      </w:tr>
      <w:tr w:rsidR="008D74E7" w:rsidRPr="008D74E7" w14:paraId="3C8CF76A" w14:textId="77777777" w:rsidTr="00CC2878">
        <w:trPr>
          <w:tblCellSpacing w:w="15" w:type="dxa"/>
        </w:trPr>
        <w:tc>
          <w:tcPr>
            <w:tcW w:w="1747" w:type="dxa"/>
            <w:tcBorders>
              <w:top w:val="single" w:sz="6" w:space="0" w:color="auto"/>
              <w:left w:val="single" w:sz="6" w:space="0" w:color="auto"/>
              <w:bottom w:val="single" w:sz="6" w:space="0" w:color="auto"/>
              <w:right w:val="single" w:sz="6" w:space="0" w:color="auto"/>
            </w:tcBorders>
            <w:vAlign w:val="center"/>
            <w:hideMark/>
          </w:tcPr>
          <w:p w14:paraId="56BA8513" w14:textId="77777777" w:rsidR="008D74E7" w:rsidRPr="008D74E7" w:rsidRDefault="008D74E7" w:rsidP="008D74E7">
            <w:pPr>
              <w:spacing w:after="120" w:line="240" w:lineRule="auto"/>
              <w:ind w:left="110"/>
              <w:rPr>
                <w:sz w:val="22"/>
                <w:szCs w:val="22"/>
              </w:rPr>
            </w:pPr>
            <w:r w:rsidRPr="008D74E7">
              <w:rPr>
                <w:b/>
                <w:bCs/>
                <w:sz w:val="22"/>
                <w:szCs w:val="22"/>
              </w:rPr>
              <w:t>RTO</w:t>
            </w:r>
          </w:p>
        </w:tc>
        <w:tc>
          <w:tcPr>
            <w:tcW w:w="1680" w:type="dxa"/>
            <w:tcBorders>
              <w:top w:val="single" w:sz="6" w:space="0" w:color="auto"/>
              <w:left w:val="single" w:sz="6" w:space="0" w:color="auto"/>
              <w:bottom w:val="single" w:sz="6" w:space="0" w:color="auto"/>
              <w:right w:val="single" w:sz="6" w:space="0" w:color="auto"/>
            </w:tcBorders>
            <w:vAlign w:val="center"/>
            <w:hideMark/>
          </w:tcPr>
          <w:p w14:paraId="4C9004DD" w14:textId="77777777" w:rsidR="008D74E7" w:rsidRPr="008D74E7" w:rsidRDefault="008D74E7" w:rsidP="008D74E7">
            <w:pPr>
              <w:spacing w:after="120" w:line="240" w:lineRule="auto"/>
              <w:ind w:left="110"/>
              <w:rPr>
                <w:sz w:val="22"/>
                <w:szCs w:val="22"/>
              </w:rPr>
            </w:pPr>
            <w:r w:rsidRPr="008D74E7">
              <w:rPr>
                <w:sz w:val="22"/>
                <w:szCs w:val="22"/>
              </w:rPr>
              <w:t>&lt; 4 Hours</w:t>
            </w:r>
          </w:p>
        </w:tc>
        <w:tc>
          <w:tcPr>
            <w:tcW w:w="5985" w:type="dxa"/>
            <w:tcBorders>
              <w:top w:val="single" w:sz="6" w:space="0" w:color="auto"/>
              <w:left w:val="single" w:sz="6" w:space="0" w:color="auto"/>
              <w:bottom w:val="single" w:sz="6" w:space="0" w:color="auto"/>
              <w:right w:val="single" w:sz="6" w:space="0" w:color="auto"/>
            </w:tcBorders>
            <w:vAlign w:val="center"/>
            <w:hideMark/>
          </w:tcPr>
          <w:p w14:paraId="4C177FC1" w14:textId="77777777" w:rsidR="008D74E7" w:rsidRPr="008D74E7" w:rsidRDefault="008D74E7" w:rsidP="008D74E7">
            <w:pPr>
              <w:spacing w:after="120" w:line="240" w:lineRule="auto"/>
              <w:ind w:left="110"/>
              <w:rPr>
                <w:sz w:val="22"/>
                <w:szCs w:val="22"/>
              </w:rPr>
            </w:pPr>
            <w:r w:rsidRPr="008D74E7">
              <w:rPr>
                <w:sz w:val="22"/>
                <w:szCs w:val="22"/>
              </w:rPr>
              <w:t>Automated "Hot-Swap" between USA/Swiss/Bermuda.</w:t>
            </w:r>
          </w:p>
        </w:tc>
      </w:tr>
      <w:tr w:rsidR="008D74E7" w:rsidRPr="008D74E7" w14:paraId="38DB081E" w14:textId="77777777" w:rsidTr="00CC2878">
        <w:trPr>
          <w:tblCellSpacing w:w="15" w:type="dxa"/>
        </w:trPr>
        <w:tc>
          <w:tcPr>
            <w:tcW w:w="1747" w:type="dxa"/>
            <w:tcBorders>
              <w:top w:val="single" w:sz="6" w:space="0" w:color="auto"/>
              <w:left w:val="single" w:sz="6" w:space="0" w:color="auto"/>
              <w:bottom w:val="single" w:sz="6" w:space="0" w:color="auto"/>
              <w:right w:val="single" w:sz="6" w:space="0" w:color="auto"/>
            </w:tcBorders>
            <w:vAlign w:val="center"/>
            <w:hideMark/>
          </w:tcPr>
          <w:p w14:paraId="06FC715B" w14:textId="77777777" w:rsidR="008D74E7" w:rsidRPr="008D74E7" w:rsidRDefault="008D74E7" w:rsidP="008D74E7">
            <w:pPr>
              <w:spacing w:after="120" w:line="240" w:lineRule="auto"/>
              <w:ind w:left="110"/>
              <w:rPr>
                <w:sz w:val="22"/>
                <w:szCs w:val="22"/>
              </w:rPr>
            </w:pPr>
            <w:r w:rsidRPr="008D74E7">
              <w:rPr>
                <w:b/>
                <w:bCs/>
                <w:sz w:val="22"/>
                <w:szCs w:val="22"/>
              </w:rPr>
              <w:t>Veto Logic</w:t>
            </w:r>
          </w:p>
        </w:tc>
        <w:tc>
          <w:tcPr>
            <w:tcW w:w="1680" w:type="dxa"/>
            <w:tcBorders>
              <w:top w:val="single" w:sz="6" w:space="0" w:color="auto"/>
              <w:left w:val="single" w:sz="6" w:space="0" w:color="auto"/>
              <w:bottom w:val="single" w:sz="6" w:space="0" w:color="auto"/>
              <w:right w:val="single" w:sz="6" w:space="0" w:color="auto"/>
            </w:tcBorders>
            <w:vAlign w:val="center"/>
            <w:hideMark/>
          </w:tcPr>
          <w:p w14:paraId="1D956D5A" w14:textId="77777777" w:rsidR="008D74E7" w:rsidRPr="008D74E7" w:rsidRDefault="008D74E7" w:rsidP="008D74E7">
            <w:pPr>
              <w:spacing w:after="120" w:line="240" w:lineRule="auto"/>
              <w:ind w:left="110"/>
              <w:rPr>
                <w:sz w:val="22"/>
                <w:szCs w:val="22"/>
              </w:rPr>
            </w:pPr>
            <w:r w:rsidRPr="008D74E7">
              <w:rPr>
                <w:sz w:val="22"/>
                <w:szCs w:val="22"/>
              </w:rPr>
              <w:t>2-of-3 MPC</w:t>
            </w:r>
          </w:p>
        </w:tc>
        <w:tc>
          <w:tcPr>
            <w:tcW w:w="5985" w:type="dxa"/>
            <w:tcBorders>
              <w:top w:val="single" w:sz="6" w:space="0" w:color="auto"/>
              <w:left w:val="single" w:sz="6" w:space="0" w:color="auto"/>
              <w:bottom w:val="single" w:sz="6" w:space="0" w:color="auto"/>
              <w:right w:val="single" w:sz="6" w:space="0" w:color="auto"/>
            </w:tcBorders>
            <w:vAlign w:val="center"/>
            <w:hideMark/>
          </w:tcPr>
          <w:p w14:paraId="0890DF81" w14:textId="62AB07CB" w:rsidR="008D74E7" w:rsidRPr="008D74E7" w:rsidRDefault="008D74E7" w:rsidP="008D74E7">
            <w:pPr>
              <w:spacing w:after="120" w:line="240" w:lineRule="auto"/>
              <w:ind w:left="110"/>
              <w:rPr>
                <w:sz w:val="22"/>
                <w:szCs w:val="22"/>
              </w:rPr>
            </w:pPr>
            <w:r w:rsidRPr="008D74E7">
              <w:rPr>
                <w:sz w:val="22"/>
                <w:szCs w:val="22"/>
              </w:rPr>
              <w:t>Shard split</w:t>
            </w:r>
            <w:r w:rsidR="00CC2878">
              <w:rPr>
                <w:sz w:val="22"/>
                <w:szCs w:val="22"/>
              </w:rPr>
              <w:t>ting</w:t>
            </w:r>
            <w:r w:rsidRPr="008D74E7">
              <w:rPr>
                <w:sz w:val="22"/>
                <w:szCs w:val="22"/>
              </w:rPr>
              <w:t xml:space="preserve"> across </w:t>
            </w:r>
            <w:r w:rsidR="00CC2878">
              <w:rPr>
                <w:sz w:val="22"/>
                <w:szCs w:val="22"/>
              </w:rPr>
              <w:t xml:space="preserve">the </w:t>
            </w:r>
            <w:r w:rsidRPr="008D74E7">
              <w:rPr>
                <w:sz w:val="22"/>
                <w:szCs w:val="22"/>
              </w:rPr>
              <w:t>USA, Switzerland, and Bermuda.</w:t>
            </w:r>
          </w:p>
        </w:tc>
      </w:tr>
      <w:tr w:rsidR="008D74E7" w:rsidRPr="008D74E7" w14:paraId="4E1464DC" w14:textId="77777777" w:rsidTr="00CC2878">
        <w:trPr>
          <w:tblCellSpacing w:w="15" w:type="dxa"/>
        </w:trPr>
        <w:tc>
          <w:tcPr>
            <w:tcW w:w="1747" w:type="dxa"/>
            <w:tcBorders>
              <w:top w:val="single" w:sz="6" w:space="0" w:color="auto"/>
              <w:left w:val="single" w:sz="6" w:space="0" w:color="auto"/>
              <w:bottom w:val="single" w:sz="6" w:space="0" w:color="auto"/>
              <w:right w:val="single" w:sz="6" w:space="0" w:color="auto"/>
            </w:tcBorders>
            <w:vAlign w:val="center"/>
            <w:hideMark/>
          </w:tcPr>
          <w:p w14:paraId="45D33FD7" w14:textId="77777777" w:rsidR="008D74E7" w:rsidRPr="008D74E7" w:rsidRDefault="008D74E7" w:rsidP="008D74E7">
            <w:pPr>
              <w:spacing w:after="120" w:line="240" w:lineRule="auto"/>
              <w:ind w:left="110"/>
              <w:rPr>
                <w:sz w:val="22"/>
                <w:szCs w:val="22"/>
              </w:rPr>
            </w:pPr>
            <w:r w:rsidRPr="008D74E7">
              <w:rPr>
                <w:b/>
                <w:bCs/>
                <w:sz w:val="22"/>
                <w:szCs w:val="22"/>
              </w:rPr>
              <w:t>Jurisdictional Firewall</w:t>
            </w:r>
          </w:p>
        </w:tc>
        <w:tc>
          <w:tcPr>
            <w:tcW w:w="1680" w:type="dxa"/>
            <w:tcBorders>
              <w:top w:val="single" w:sz="6" w:space="0" w:color="auto"/>
              <w:left w:val="single" w:sz="6" w:space="0" w:color="auto"/>
              <w:bottom w:val="single" w:sz="6" w:space="0" w:color="auto"/>
              <w:right w:val="single" w:sz="6" w:space="0" w:color="auto"/>
            </w:tcBorders>
            <w:vAlign w:val="center"/>
            <w:hideMark/>
          </w:tcPr>
          <w:p w14:paraId="5444E5E2" w14:textId="7BB3E0C8" w:rsidR="008D74E7" w:rsidRPr="008D74E7" w:rsidRDefault="008D74E7" w:rsidP="008D74E7">
            <w:pPr>
              <w:spacing w:after="120" w:line="240" w:lineRule="auto"/>
              <w:ind w:left="110"/>
              <w:rPr>
                <w:sz w:val="22"/>
                <w:szCs w:val="22"/>
              </w:rPr>
            </w:pPr>
            <w:r w:rsidRPr="008D74E7">
              <w:rPr>
                <w:sz w:val="22"/>
                <w:szCs w:val="22"/>
              </w:rPr>
              <w:t>U.S. C</w:t>
            </w:r>
            <w:r w:rsidR="000A6950">
              <w:rPr>
                <w:sz w:val="22"/>
                <w:szCs w:val="22"/>
              </w:rPr>
              <w:t xml:space="preserve">loud </w:t>
            </w:r>
            <w:r w:rsidRPr="008D74E7">
              <w:rPr>
                <w:sz w:val="22"/>
                <w:szCs w:val="22"/>
              </w:rPr>
              <w:t>Act</w:t>
            </w:r>
          </w:p>
        </w:tc>
        <w:tc>
          <w:tcPr>
            <w:tcW w:w="5985" w:type="dxa"/>
            <w:tcBorders>
              <w:top w:val="single" w:sz="6" w:space="0" w:color="auto"/>
              <w:left w:val="single" w:sz="6" w:space="0" w:color="auto"/>
              <w:bottom w:val="single" w:sz="6" w:space="0" w:color="auto"/>
              <w:right w:val="single" w:sz="6" w:space="0" w:color="auto"/>
            </w:tcBorders>
            <w:vAlign w:val="center"/>
            <w:hideMark/>
          </w:tcPr>
          <w:p w14:paraId="7233F394" w14:textId="3954E801" w:rsidR="008D74E7" w:rsidRPr="008D74E7" w:rsidRDefault="008D74E7" w:rsidP="008D74E7">
            <w:pPr>
              <w:spacing w:after="120" w:line="240" w:lineRule="auto"/>
              <w:ind w:left="110"/>
              <w:rPr>
                <w:sz w:val="22"/>
                <w:szCs w:val="22"/>
              </w:rPr>
            </w:pPr>
            <w:r w:rsidRPr="008D74E7">
              <w:rPr>
                <w:sz w:val="22"/>
                <w:szCs w:val="22"/>
              </w:rPr>
              <w:t xml:space="preserve">Decoupled Logic: Keys are never co-located </w:t>
            </w:r>
            <w:r w:rsidR="005652F0">
              <w:rPr>
                <w:sz w:val="22"/>
                <w:szCs w:val="22"/>
              </w:rPr>
              <w:t>within a single</w:t>
            </w:r>
            <w:r w:rsidRPr="008D74E7">
              <w:rPr>
                <w:sz w:val="22"/>
                <w:szCs w:val="22"/>
              </w:rPr>
              <w:t xml:space="preserve"> nexus.</w:t>
            </w:r>
          </w:p>
        </w:tc>
      </w:tr>
    </w:tbl>
    <w:p w14:paraId="1015FCEB" w14:textId="77777777" w:rsidR="00C27AE8" w:rsidRPr="00E70773" w:rsidRDefault="00C27AE8" w:rsidP="00C27AE8">
      <w:pPr>
        <w:spacing w:after="120" w:line="240" w:lineRule="auto"/>
        <w:rPr>
          <w:sz w:val="22"/>
          <w:szCs w:val="22"/>
        </w:rPr>
      </w:pPr>
      <w:r w:rsidRPr="00E70773">
        <w:rPr>
          <w:sz w:val="22"/>
          <w:szCs w:val="22"/>
        </w:rPr>
        <w:t xml:space="preserve">This architecture provides GSCX with an </w:t>
      </w:r>
      <w:r w:rsidRPr="00E70773">
        <w:rPr>
          <w:b/>
          <w:bCs/>
          <w:sz w:val="22"/>
          <w:szCs w:val="22"/>
        </w:rPr>
        <w:t>"Institutional Moat"</w:t>
      </w:r>
      <w:r w:rsidRPr="00E70773">
        <w:rPr>
          <w:sz w:val="22"/>
          <w:szCs w:val="22"/>
        </w:rPr>
        <w:t>:</w:t>
      </w:r>
    </w:p>
    <w:p w14:paraId="36948B87" w14:textId="77777777" w:rsidR="00C27AE8" w:rsidRPr="003A1000" w:rsidRDefault="00C27AE8" w:rsidP="00C27AE8">
      <w:pPr>
        <w:numPr>
          <w:ilvl w:val="0"/>
          <w:numId w:val="9"/>
        </w:numPr>
        <w:spacing w:after="120" w:line="240" w:lineRule="auto"/>
        <w:rPr>
          <w:sz w:val="22"/>
          <w:szCs w:val="22"/>
        </w:rPr>
      </w:pPr>
      <w:r w:rsidRPr="00E70773">
        <w:rPr>
          <w:b/>
          <w:bCs/>
          <w:sz w:val="22"/>
          <w:szCs w:val="22"/>
        </w:rPr>
        <w:t>Central Bank Grade:</w:t>
      </w:r>
      <w:r w:rsidRPr="00E70773">
        <w:rPr>
          <w:sz w:val="22"/>
          <w:szCs w:val="22"/>
        </w:rPr>
        <w:t xml:space="preserve"> </w:t>
      </w:r>
      <w:r>
        <w:rPr>
          <w:sz w:val="22"/>
          <w:szCs w:val="22"/>
        </w:rPr>
        <w:t>U</w:t>
      </w:r>
      <w:r w:rsidRPr="00E70773">
        <w:rPr>
          <w:sz w:val="22"/>
          <w:szCs w:val="22"/>
        </w:rPr>
        <w:t>sing the IBM LinuxONE mainframe</w:t>
      </w:r>
      <w:r>
        <w:rPr>
          <w:sz w:val="22"/>
          <w:szCs w:val="22"/>
        </w:rPr>
        <w:t xml:space="preserve">, </w:t>
      </w:r>
      <w:r w:rsidRPr="00E70773">
        <w:rPr>
          <w:sz w:val="22"/>
          <w:szCs w:val="22"/>
        </w:rPr>
        <w:t>the same hardware used by the world's largest central banks</w:t>
      </w:r>
      <w:r>
        <w:rPr>
          <w:sz w:val="22"/>
          <w:szCs w:val="22"/>
        </w:rPr>
        <w:t xml:space="preserve">, one </w:t>
      </w:r>
      <w:r w:rsidRPr="003A1000">
        <w:rPr>
          <w:sz w:val="22"/>
          <w:szCs w:val="22"/>
        </w:rPr>
        <w:t>elevate</w:t>
      </w:r>
      <w:r>
        <w:rPr>
          <w:sz w:val="22"/>
          <w:szCs w:val="22"/>
        </w:rPr>
        <w:t>s</w:t>
      </w:r>
      <w:r w:rsidRPr="003A1000">
        <w:rPr>
          <w:sz w:val="22"/>
          <w:szCs w:val="22"/>
        </w:rPr>
        <w:t xml:space="preserve"> GSCX from a "startup" to a "financial utility."</w:t>
      </w:r>
    </w:p>
    <w:p w14:paraId="7BB990CE" w14:textId="77777777" w:rsidR="00C27AE8" w:rsidRPr="00E70773" w:rsidRDefault="00C27AE8" w:rsidP="00C27AE8">
      <w:pPr>
        <w:numPr>
          <w:ilvl w:val="0"/>
          <w:numId w:val="9"/>
        </w:numPr>
        <w:spacing w:after="120" w:line="240" w:lineRule="auto"/>
        <w:rPr>
          <w:sz w:val="22"/>
          <w:szCs w:val="22"/>
        </w:rPr>
      </w:pPr>
      <w:r w:rsidRPr="00E70773">
        <w:rPr>
          <w:b/>
          <w:bCs/>
          <w:sz w:val="22"/>
          <w:szCs w:val="22"/>
        </w:rPr>
        <w:t>Sovereign Trust:</w:t>
      </w:r>
      <w:r w:rsidRPr="00E70773">
        <w:rPr>
          <w:sz w:val="22"/>
          <w:szCs w:val="22"/>
        </w:rPr>
        <w:t xml:space="preserve"> </w:t>
      </w:r>
      <w:r>
        <w:rPr>
          <w:sz w:val="22"/>
          <w:szCs w:val="22"/>
        </w:rPr>
        <w:t>U</w:t>
      </w:r>
      <w:r w:rsidRPr="00E70773">
        <w:rPr>
          <w:sz w:val="22"/>
          <w:szCs w:val="22"/>
        </w:rPr>
        <w:t>nique value proposition to Middle Eastern and Asian investors: "Your data never enters the US legal jurisdiction."</w:t>
      </w:r>
    </w:p>
    <w:p w14:paraId="69EBD9CC" w14:textId="30D89FA2" w:rsidR="00C27AE8" w:rsidRDefault="00C27AE8" w:rsidP="008D74E7">
      <w:pPr>
        <w:numPr>
          <w:ilvl w:val="0"/>
          <w:numId w:val="9"/>
        </w:numPr>
        <w:spacing w:after="120" w:line="240" w:lineRule="auto"/>
        <w:rPr>
          <w:sz w:val="22"/>
          <w:szCs w:val="22"/>
        </w:rPr>
      </w:pPr>
      <w:r w:rsidRPr="00E70773">
        <w:rPr>
          <w:b/>
          <w:bCs/>
          <w:sz w:val="22"/>
          <w:szCs w:val="22"/>
        </w:rPr>
        <w:t>Resilience as a Product:</w:t>
      </w:r>
      <w:r w:rsidRPr="00E70773">
        <w:rPr>
          <w:sz w:val="22"/>
          <w:szCs w:val="22"/>
        </w:rPr>
        <w:t xml:space="preserve"> The DR protocols turn a cost center (infrastructure) into a revenue driver. </w:t>
      </w:r>
      <w:r>
        <w:rPr>
          <w:sz w:val="22"/>
          <w:szCs w:val="22"/>
        </w:rPr>
        <w:t>GSCX</w:t>
      </w:r>
      <w:r w:rsidRPr="00E70773">
        <w:rPr>
          <w:sz w:val="22"/>
          <w:szCs w:val="22"/>
        </w:rPr>
        <w:t xml:space="preserve"> can offer "Guaranteed Settlement Finality" insurance</w:t>
      </w:r>
      <w:r>
        <w:rPr>
          <w:sz w:val="22"/>
          <w:szCs w:val="22"/>
        </w:rPr>
        <w:t>, as well as other protection,</w:t>
      </w:r>
      <w:r w:rsidRPr="00E70773">
        <w:rPr>
          <w:sz w:val="22"/>
          <w:szCs w:val="22"/>
        </w:rPr>
        <w:t xml:space="preserve"> via </w:t>
      </w:r>
      <w:r>
        <w:rPr>
          <w:sz w:val="22"/>
          <w:szCs w:val="22"/>
        </w:rPr>
        <w:t>its</w:t>
      </w:r>
      <w:r w:rsidRPr="00E70773">
        <w:rPr>
          <w:sz w:val="22"/>
          <w:szCs w:val="22"/>
        </w:rPr>
        <w:t xml:space="preserve"> Bermuda </w:t>
      </w:r>
      <w:r>
        <w:rPr>
          <w:sz w:val="22"/>
          <w:szCs w:val="22"/>
        </w:rPr>
        <w:t>C</w:t>
      </w:r>
      <w:r w:rsidRPr="00E70773">
        <w:rPr>
          <w:sz w:val="22"/>
          <w:szCs w:val="22"/>
        </w:rPr>
        <w:t>aptive, backed by this tri-node resilience.</w:t>
      </w:r>
    </w:p>
    <w:p w14:paraId="118FF359" w14:textId="77777777" w:rsidR="004C2A38" w:rsidRPr="004C2A38" w:rsidRDefault="004C2A38" w:rsidP="004C2A38">
      <w:pPr>
        <w:spacing w:after="120" w:line="240" w:lineRule="auto"/>
        <w:rPr>
          <w:b/>
          <w:bCs/>
          <w:sz w:val="28"/>
          <w:szCs w:val="28"/>
        </w:rPr>
      </w:pPr>
      <w:r w:rsidRPr="004C2A38">
        <w:rPr>
          <w:b/>
          <w:bCs/>
          <w:sz w:val="28"/>
          <w:szCs w:val="28"/>
        </w:rPr>
        <w:t>GSCX Trust &amp; Fiduciary Services</w:t>
      </w:r>
    </w:p>
    <w:p w14:paraId="5A775022" w14:textId="6EB3A644" w:rsidR="004C2A38" w:rsidRPr="004C2A38" w:rsidRDefault="004C2A38" w:rsidP="004C2A38">
      <w:pPr>
        <w:spacing w:after="120" w:line="240" w:lineRule="auto"/>
        <w:rPr>
          <w:sz w:val="22"/>
          <w:szCs w:val="22"/>
        </w:rPr>
      </w:pPr>
      <w:r w:rsidRPr="004C2A38">
        <w:rPr>
          <w:sz w:val="22"/>
          <w:szCs w:val="22"/>
        </w:rPr>
        <w:t>GSCX</w:t>
      </w:r>
      <w:r>
        <w:rPr>
          <w:sz w:val="22"/>
          <w:szCs w:val="22"/>
        </w:rPr>
        <w:t>’s</w:t>
      </w:r>
      <w:r w:rsidRPr="004C2A38">
        <w:rPr>
          <w:sz w:val="22"/>
          <w:szCs w:val="22"/>
        </w:rPr>
        <w:t xml:space="preserve"> </w:t>
      </w:r>
      <w:r w:rsidRPr="004C2A38">
        <w:rPr>
          <w:b/>
          <w:bCs/>
          <w:sz w:val="22"/>
          <w:szCs w:val="22"/>
        </w:rPr>
        <w:t>Digital Asset Business (DAB) Trust and Fiduciary</w:t>
      </w:r>
      <w:r w:rsidRPr="004C2A38">
        <w:rPr>
          <w:sz w:val="22"/>
          <w:szCs w:val="22"/>
        </w:rPr>
        <w:t xml:space="preserve"> unit </w:t>
      </w:r>
      <w:r>
        <w:rPr>
          <w:sz w:val="22"/>
          <w:szCs w:val="22"/>
        </w:rPr>
        <w:t xml:space="preserve">is </w:t>
      </w:r>
      <w:r w:rsidRPr="004C2A38">
        <w:rPr>
          <w:sz w:val="22"/>
          <w:szCs w:val="22"/>
        </w:rPr>
        <w:t>designed to provide sovereign-grade asset protection, escrow, and custodial management</w:t>
      </w:r>
      <w:r>
        <w:rPr>
          <w:sz w:val="22"/>
          <w:szCs w:val="22"/>
        </w:rPr>
        <w:t xml:space="preserve">, </w:t>
      </w:r>
      <w:r w:rsidRPr="004C2A38">
        <w:rPr>
          <w:sz w:val="22"/>
          <w:szCs w:val="22"/>
        </w:rPr>
        <w:t>serv</w:t>
      </w:r>
      <w:r>
        <w:rPr>
          <w:sz w:val="22"/>
          <w:szCs w:val="22"/>
        </w:rPr>
        <w:t>ing</w:t>
      </w:r>
      <w:r w:rsidRPr="004C2A38">
        <w:rPr>
          <w:sz w:val="22"/>
          <w:szCs w:val="22"/>
        </w:rPr>
        <w:t xml:space="preserve"> as the legal and operational backbone for high-value trade finance, managing the "Title of Goods" and financial collateral within the </w:t>
      </w:r>
      <w:r w:rsidRPr="004C2A38">
        <w:rPr>
          <w:b/>
          <w:bCs/>
          <w:sz w:val="22"/>
          <w:szCs w:val="22"/>
        </w:rPr>
        <w:t>ADGM-BMA Regulatory Bridge</w:t>
      </w:r>
      <w:r w:rsidRPr="004C2A38">
        <w:rPr>
          <w:sz w:val="22"/>
          <w:szCs w:val="22"/>
        </w:rPr>
        <w:t>.</w:t>
      </w:r>
    </w:p>
    <w:p w14:paraId="69231962" w14:textId="2020950C" w:rsidR="004C2A38" w:rsidRPr="004C2A38" w:rsidRDefault="004C2A38" w:rsidP="004C2A38">
      <w:pPr>
        <w:spacing w:after="120" w:line="240" w:lineRule="auto"/>
        <w:rPr>
          <w:b/>
          <w:bCs/>
        </w:rPr>
      </w:pPr>
      <w:r w:rsidRPr="004C2A38">
        <w:rPr>
          <w:b/>
          <w:bCs/>
        </w:rPr>
        <w:t>Technical Trust Architecture: "Sovereign Fortress"</w:t>
      </w:r>
    </w:p>
    <w:p w14:paraId="0291B5D3" w14:textId="77777777" w:rsidR="004C2A38" w:rsidRPr="004C2A38" w:rsidRDefault="004C2A38" w:rsidP="004C2A38">
      <w:pPr>
        <w:spacing w:after="120" w:line="240" w:lineRule="auto"/>
        <w:rPr>
          <w:sz w:val="22"/>
          <w:szCs w:val="22"/>
        </w:rPr>
      </w:pPr>
      <w:r w:rsidRPr="004C2A38">
        <w:rPr>
          <w:sz w:val="22"/>
          <w:szCs w:val="22"/>
        </w:rPr>
        <w:t xml:space="preserve">The fiduciary framework is built on </w:t>
      </w:r>
      <w:r w:rsidRPr="004C2A38">
        <w:rPr>
          <w:b/>
          <w:bCs/>
          <w:sz w:val="22"/>
          <w:szCs w:val="22"/>
        </w:rPr>
        <w:t>IBM LinuxONE</w:t>
      </w:r>
      <w:r w:rsidRPr="004C2A38">
        <w:rPr>
          <w:sz w:val="22"/>
          <w:szCs w:val="22"/>
        </w:rPr>
        <w:t xml:space="preserve"> hardware, ensuring that the "Trust" is both legally and technically absolute.</w:t>
      </w:r>
    </w:p>
    <w:p w14:paraId="2AF8FE60" w14:textId="77777777" w:rsidR="004C2A38" w:rsidRPr="004C2A38" w:rsidRDefault="004C2A38" w:rsidP="004C2A38">
      <w:pPr>
        <w:numPr>
          <w:ilvl w:val="0"/>
          <w:numId w:val="40"/>
        </w:numPr>
        <w:spacing w:after="120" w:line="240" w:lineRule="auto"/>
        <w:rPr>
          <w:sz w:val="22"/>
          <w:szCs w:val="22"/>
        </w:rPr>
      </w:pPr>
      <w:r w:rsidRPr="004C2A38">
        <w:rPr>
          <w:b/>
          <w:bCs/>
          <w:sz w:val="22"/>
          <w:szCs w:val="22"/>
        </w:rPr>
        <w:t>EAL5+ Isolation:</w:t>
      </w:r>
      <w:r w:rsidRPr="004C2A38">
        <w:rPr>
          <w:sz w:val="22"/>
          <w:szCs w:val="22"/>
        </w:rPr>
        <w:t xml:space="preserve"> GSCX utilizes </w:t>
      </w:r>
      <w:r w:rsidRPr="004C2A38">
        <w:rPr>
          <w:b/>
          <w:bCs/>
          <w:sz w:val="22"/>
          <w:szCs w:val="22"/>
        </w:rPr>
        <w:t>Logical Partition (LPAR) Isolation</w:t>
      </w:r>
      <w:r w:rsidRPr="004C2A38">
        <w:rPr>
          <w:sz w:val="22"/>
          <w:szCs w:val="22"/>
        </w:rPr>
        <w:t xml:space="preserve"> to ensure that fiduciary data is as secure as if it were on physically separate computers.</w:t>
      </w:r>
    </w:p>
    <w:p w14:paraId="2D436E7D" w14:textId="77777777" w:rsidR="004C2A38" w:rsidRPr="004C2A38" w:rsidRDefault="004C2A38" w:rsidP="004C2A38">
      <w:pPr>
        <w:numPr>
          <w:ilvl w:val="0"/>
          <w:numId w:val="40"/>
        </w:numPr>
        <w:spacing w:after="120" w:line="240" w:lineRule="auto"/>
        <w:rPr>
          <w:sz w:val="22"/>
          <w:szCs w:val="22"/>
        </w:rPr>
      </w:pPr>
      <w:r w:rsidRPr="004C2A38">
        <w:rPr>
          <w:b/>
          <w:bCs/>
          <w:sz w:val="22"/>
          <w:szCs w:val="22"/>
        </w:rPr>
        <w:t>Protection Against "Privileged Users":</w:t>
      </w:r>
      <w:r w:rsidRPr="004C2A38">
        <w:rPr>
          <w:sz w:val="22"/>
          <w:szCs w:val="22"/>
        </w:rPr>
        <w:t xml:space="preserve"> Hardware-level encryption ensures that even system administrators at the datacenter cannot access the private keys or ledger entries associated with client trusts.</w:t>
      </w:r>
    </w:p>
    <w:p w14:paraId="0EF27214" w14:textId="77777777" w:rsidR="004C2A38" w:rsidRPr="004C2A38" w:rsidRDefault="004C2A38" w:rsidP="004C2A38">
      <w:pPr>
        <w:numPr>
          <w:ilvl w:val="0"/>
          <w:numId w:val="40"/>
        </w:numPr>
        <w:spacing w:after="120" w:line="240" w:lineRule="auto"/>
        <w:rPr>
          <w:sz w:val="22"/>
          <w:szCs w:val="22"/>
        </w:rPr>
      </w:pPr>
      <w:r w:rsidRPr="004C2A38">
        <w:rPr>
          <w:b/>
          <w:bCs/>
          <w:sz w:val="22"/>
          <w:szCs w:val="22"/>
        </w:rPr>
        <w:lastRenderedPageBreak/>
        <w:t>MPC Sharding:</w:t>
      </w:r>
      <w:r w:rsidRPr="004C2A38">
        <w:rPr>
          <w:sz w:val="22"/>
          <w:szCs w:val="22"/>
        </w:rPr>
        <w:t xml:space="preserve"> GSCX employs a </w:t>
      </w:r>
      <w:r w:rsidRPr="004C2A38">
        <w:rPr>
          <w:b/>
          <w:bCs/>
          <w:sz w:val="22"/>
          <w:szCs w:val="22"/>
        </w:rPr>
        <w:t>2-of-3 Multi-Party Computation (MPC)</w:t>
      </w:r>
      <w:r w:rsidRPr="004C2A38">
        <w:rPr>
          <w:sz w:val="22"/>
          <w:szCs w:val="22"/>
        </w:rPr>
        <w:t xml:space="preserve"> shard protocol to distribute trust authority across the USA, Switzerland, and Bermuda.</w:t>
      </w:r>
    </w:p>
    <w:p w14:paraId="0B6726DD" w14:textId="6EC94D62" w:rsidR="004C2A38" w:rsidRPr="004C2A38" w:rsidRDefault="004C2A38" w:rsidP="004C2A38">
      <w:pPr>
        <w:spacing w:after="120" w:line="240" w:lineRule="auto"/>
        <w:rPr>
          <w:b/>
          <w:bCs/>
        </w:rPr>
      </w:pPr>
      <w:r w:rsidRPr="004C2A38">
        <w:rPr>
          <w:b/>
          <w:bCs/>
        </w:rPr>
        <w:t>Jurisdictional Fiduciary Mesh</w:t>
      </w:r>
    </w:p>
    <w:p w14:paraId="0F4AAFB9" w14:textId="77777777" w:rsidR="004C2A38" w:rsidRPr="004C2A38" w:rsidRDefault="004C2A38" w:rsidP="004C2A38">
      <w:pPr>
        <w:spacing w:after="120" w:line="240" w:lineRule="auto"/>
        <w:rPr>
          <w:sz w:val="22"/>
          <w:szCs w:val="22"/>
        </w:rPr>
      </w:pPr>
      <w:r w:rsidRPr="004C2A38">
        <w:rPr>
          <w:sz w:val="22"/>
          <w:szCs w:val="22"/>
        </w:rPr>
        <w:t>GSCX eliminates legal conflicts and "long-arm" jurisdictional risks by decoupling the fiduciary logic across three nodes.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74"/>
        <w:gridCol w:w="1577"/>
        <w:gridCol w:w="6093"/>
      </w:tblGrid>
      <w:tr w:rsidR="004C2A38" w:rsidRPr="004C2A38" w14:paraId="483B637E" w14:textId="77777777">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F4411F7" w14:textId="77777777" w:rsidR="004C2A38" w:rsidRPr="004C2A38" w:rsidRDefault="004C2A38" w:rsidP="004C2A38">
            <w:pPr>
              <w:spacing w:after="120" w:line="240" w:lineRule="auto"/>
              <w:ind w:left="110"/>
              <w:rPr>
                <w:sz w:val="22"/>
                <w:szCs w:val="22"/>
              </w:rPr>
            </w:pPr>
            <w:r w:rsidRPr="004C2A38">
              <w:rPr>
                <w:b/>
                <w:bCs/>
                <w:sz w:val="22"/>
                <w:szCs w:val="22"/>
              </w:rPr>
              <w:t>Node</w:t>
            </w:r>
          </w:p>
        </w:tc>
        <w:tc>
          <w:tcPr>
            <w:tcW w:w="0" w:type="auto"/>
            <w:tcBorders>
              <w:top w:val="single" w:sz="6" w:space="0" w:color="auto"/>
              <w:left w:val="single" w:sz="6" w:space="0" w:color="auto"/>
              <w:bottom w:val="single" w:sz="6" w:space="0" w:color="auto"/>
              <w:right w:val="single" w:sz="6" w:space="0" w:color="auto"/>
            </w:tcBorders>
            <w:vAlign w:val="center"/>
            <w:hideMark/>
          </w:tcPr>
          <w:p w14:paraId="31720EB1" w14:textId="77777777" w:rsidR="004C2A38" w:rsidRPr="004C2A38" w:rsidRDefault="004C2A38" w:rsidP="004C2A38">
            <w:pPr>
              <w:spacing w:after="120" w:line="240" w:lineRule="auto"/>
              <w:ind w:left="110"/>
              <w:rPr>
                <w:sz w:val="22"/>
                <w:szCs w:val="22"/>
              </w:rPr>
            </w:pPr>
            <w:r w:rsidRPr="004C2A38">
              <w:rPr>
                <w:b/>
                <w:bCs/>
                <w:sz w:val="22"/>
                <w:szCs w:val="22"/>
              </w:rPr>
              <w:t>Jurisdiction</w:t>
            </w:r>
          </w:p>
        </w:tc>
        <w:tc>
          <w:tcPr>
            <w:tcW w:w="0" w:type="auto"/>
            <w:tcBorders>
              <w:top w:val="single" w:sz="6" w:space="0" w:color="auto"/>
              <w:left w:val="single" w:sz="6" w:space="0" w:color="auto"/>
              <w:bottom w:val="single" w:sz="6" w:space="0" w:color="auto"/>
              <w:right w:val="single" w:sz="6" w:space="0" w:color="auto"/>
            </w:tcBorders>
            <w:vAlign w:val="center"/>
            <w:hideMark/>
          </w:tcPr>
          <w:p w14:paraId="7FAA6D98" w14:textId="77777777" w:rsidR="004C2A38" w:rsidRPr="004C2A38" w:rsidRDefault="004C2A38" w:rsidP="004C2A38">
            <w:pPr>
              <w:spacing w:after="120" w:line="240" w:lineRule="auto"/>
              <w:ind w:left="110"/>
              <w:rPr>
                <w:sz w:val="22"/>
                <w:szCs w:val="22"/>
              </w:rPr>
            </w:pPr>
            <w:r w:rsidRPr="004C2A38">
              <w:rPr>
                <w:b/>
                <w:bCs/>
                <w:sz w:val="22"/>
                <w:szCs w:val="22"/>
              </w:rPr>
              <w:t>Fiduciary Function</w:t>
            </w:r>
          </w:p>
        </w:tc>
      </w:tr>
      <w:tr w:rsidR="004C2A38" w:rsidRPr="004C2A38" w14:paraId="6FDBF8FF"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964BB9B" w14:textId="77777777" w:rsidR="004C2A38" w:rsidRPr="004C2A38" w:rsidRDefault="004C2A38" w:rsidP="004C2A38">
            <w:pPr>
              <w:spacing w:after="120" w:line="240" w:lineRule="auto"/>
              <w:ind w:left="110"/>
              <w:rPr>
                <w:sz w:val="22"/>
                <w:szCs w:val="22"/>
              </w:rPr>
            </w:pPr>
            <w:r w:rsidRPr="004C2A38">
              <w:rPr>
                <w:b/>
                <w:bCs/>
                <w:sz w:val="22"/>
                <w:szCs w:val="22"/>
              </w:rPr>
              <w:t>Switzerland Hub</w:t>
            </w:r>
          </w:p>
        </w:tc>
        <w:tc>
          <w:tcPr>
            <w:tcW w:w="0" w:type="auto"/>
            <w:tcBorders>
              <w:top w:val="single" w:sz="6" w:space="0" w:color="auto"/>
              <w:left w:val="single" w:sz="6" w:space="0" w:color="auto"/>
              <w:bottom w:val="single" w:sz="6" w:space="0" w:color="auto"/>
              <w:right w:val="single" w:sz="6" w:space="0" w:color="auto"/>
            </w:tcBorders>
            <w:vAlign w:val="center"/>
            <w:hideMark/>
          </w:tcPr>
          <w:p w14:paraId="187DF331" w14:textId="77777777" w:rsidR="004C2A38" w:rsidRPr="004C2A38" w:rsidRDefault="004C2A38" w:rsidP="004C2A38">
            <w:pPr>
              <w:spacing w:after="120" w:line="240" w:lineRule="auto"/>
              <w:ind w:left="110"/>
              <w:rPr>
                <w:sz w:val="22"/>
                <w:szCs w:val="22"/>
              </w:rPr>
            </w:pPr>
            <w:r w:rsidRPr="004C2A38">
              <w:rPr>
                <w:b/>
                <w:bCs/>
                <w:sz w:val="22"/>
                <w:szCs w:val="22"/>
              </w:rPr>
              <w:t>Swiss FADP</w:t>
            </w:r>
          </w:p>
        </w:tc>
        <w:tc>
          <w:tcPr>
            <w:tcW w:w="0" w:type="auto"/>
            <w:tcBorders>
              <w:top w:val="single" w:sz="6" w:space="0" w:color="auto"/>
              <w:left w:val="single" w:sz="6" w:space="0" w:color="auto"/>
              <w:bottom w:val="single" w:sz="6" w:space="0" w:color="auto"/>
              <w:right w:val="single" w:sz="6" w:space="0" w:color="auto"/>
            </w:tcBorders>
            <w:vAlign w:val="center"/>
            <w:hideMark/>
          </w:tcPr>
          <w:p w14:paraId="32E75606" w14:textId="0FFDDD4A" w:rsidR="004C2A38" w:rsidRPr="004C2A38" w:rsidRDefault="004C2A38" w:rsidP="004C2A38">
            <w:pPr>
              <w:spacing w:after="120" w:line="240" w:lineRule="auto"/>
              <w:ind w:left="110"/>
              <w:rPr>
                <w:sz w:val="22"/>
                <w:szCs w:val="22"/>
              </w:rPr>
            </w:pPr>
            <w:r w:rsidRPr="004C2A38">
              <w:rPr>
                <w:sz w:val="22"/>
                <w:szCs w:val="22"/>
              </w:rPr>
              <w:t xml:space="preserve">Primary shield for non-US participants; ensures data remains outside the U.S. </w:t>
            </w:r>
            <w:r>
              <w:rPr>
                <w:sz w:val="22"/>
                <w:szCs w:val="22"/>
              </w:rPr>
              <w:t xml:space="preserve">CLOUD Act </w:t>
            </w:r>
            <w:r w:rsidRPr="004C2A38">
              <w:rPr>
                <w:sz w:val="22"/>
                <w:szCs w:val="22"/>
              </w:rPr>
              <w:t>reach.</w:t>
            </w:r>
          </w:p>
        </w:tc>
      </w:tr>
      <w:tr w:rsidR="004C2A38" w:rsidRPr="004C2A38" w14:paraId="6370BFF2"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64EC4027" w14:textId="77777777" w:rsidR="004C2A38" w:rsidRPr="004C2A38" w:rsidRDefault="004C2A38" w:rsidP="004C2A38">
            <w:pPr>
              <w:spacing w:after="120" w:line="240" w:lineRule="auto"/>
              <w:ind w:left="110"/>
              <w:rPr>
                <w:sz w:val="22"/>
                <w:szCs w:val="22"/>
              </w:rPr>
            </w:pPr>
            <w:r w:rsidRPr="004C2A38">
              <w:rPr>
                <w:b/>
                <w:bCs/>
                <w:sz w:val="22"/>
                <w:szCs w:val="22"/>
              </w:rPr>
              <w:t>Bermuda Nexus</w:t>
            </w:r>
          </w:p>
        </w:tc>
        <w:tc>
          <w:tcPr>
            <w:tcW w:w="0" w:type="auto"/>
            <w:tcBorders>
              <w:top w:val="single" w:sz="6" w:space="0" w:color="auto"/>
              <w:left w:val="single" w:sz="6" w:space="0" w:color="auto"/>
              <w:bottom w:val="single" w:sz="6" w:space="0" w:color="auto"/>
              <w:right w:val="single" w:sz="6" w:space="0" w:color="auto"/>
            </w:tcBorders>
            <w:vAlign w:val="center"/>
            <w:hideMark/>
          </w:tcPr>
          <w:p w14:paraId="5665F933" w14:textId="77777777" w:rsidR="004C2A38" w:rsidRPr="004C2A38" w:rsidRDefault="004C2A38" w:rsidP="004C2A38">
            <w:pPr>
              <w:spacing w:after="120" w:line="240" w:lineRule="auto"/>
              <w:ind w:left="110"/>
              <w:rPr>
                <w:sz w:val="22"/>
                <w:szCs w:val="22"/>
              </w:rPr>
            </w:pPr>
            <w:r w:rsidRPr="004C2A38">
              <w:rPr>
                <w:b/>
                <w:bCs/>
                <w:sz w:val="22"/>
                <w:szCs w:val="22"/>
              </w:rPr>
              <w:t>BMA DAB Act</w:t>
            </w:r>
          </w:p>
        </w:tc>
        <w:tc>
          <w:tcPr>
            <w:tcW w:w="0" w:type="auto"/>
            <w:tcBorders>
              <w:top w:val="single" w:sz="6" w:space="0" w:color="auto"/>
              <w:left w:val="single" w:sz="6" w:space="0" w:color="auto"/>
              <w:bottom w:val="single" w:sz="6" w:space="0" w:color="auto"/>
              <w:right w:val="single" w:sz="6" w:space="0" w:color="auto"/>
            </w:tcBorders>
            <w:vAlign w:val="center"/>
            <w:hideMark/>
          </w:tcPr>
          <w:p w14:paraId="2115FBFC" w14:textId="77777777" w:rsidR="004C2A38" w:rsidRPr="004C2A38" w:rsidRDefault="004C2A38" w:rsidP="004C2A38">
            <w:pPr>
              <w:spacing w:after="120" w:line="240" w:lineRule="auto"/>
              <w:ind w:left="110"/>
              <w:rPr>
                <w:sz w:val="22"/>
                <w:szCs w:val="22"/>
              </w:rPr>
            </w:pPr>
            <w:r w:rsidRPr="004C2A38">
              <w:rPr>
                <w:sz w:val="22"/>
                <w:szCs w:val="22"/>
              </w:rPr>
              <w:t xml:space="preserve">Acts as the </w:t>
            </w:r>
            <w:r w:rsidRPr="004C2A38">
              <w:rPr>
                <w:b/>
                <w:bCs/>
                <w:sz w:val="22"/>
                <w:szCs w:val="22"/>
              </w:rPr>
              <w:t>Legal Heartbeat</w:t>
            </w:r>
            <w:r w:rsidRPr="004C2A38">
              <w:rPr>
                <w:sz w:val="22"/>
                <w:szCs w:val="22"/>
              </w:rPr>
              <w:t xml:space="preserve"> and "Mind and Management" anchor for the trust.</w:t>
            </w:r>
          </w:p>
        </w:tc>
      </w:tr>
      <w:tr w:rsidR="004C2A38" w:rsidRPr="004C2A38" w14:paraId="6B3E3923"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780991A" w14:textId="77777777" w:rsidR="004C2A38" w:rsidRPr="004C2A38" w:rsidRDefault="004C2A38" w:rsidP="004C2A38">
            <w:pPr>
              <w:spacing w:after="120" w:line="240" w:lineRule="auto"/>
              <w:ind w:left="110"/>
              <w:rPr>
                <w:sz w:val="22"/>
                <w:szCs w:val="22"/>
              </w:rPr>
            </w:pPr>
            <w:r w:rsidRPr="004C2A38">
              <w:rPr>
                <w:b/>
                <w:bCs/>
                <w:sz w:val="22"/>
                <w:szCs w:val="22"/>
              </w:rPr>
              <w:t>USA Hub</w:t>
            </w:r>
          </w:p>
        </w:tc>
        <w:tc>
          <w:tcPr>
            <w:tcW w:w="0" w:type="auto"/>
            <w:tcBorders>
              <w:top w:val="single" w:sz="6" w:space="0" w:color="auto"/>
              <w:left w:val="single" w:sz="6" w:space="0" w:color="auto"/>
              <w:bottom w:val="single" w:sz="6" w:space="0" w:color="auto"/>
              <w:right w:val="single" w:sz="6" w:space="0" w:color="auto"/>
            </w:tcBorders>
            <w:vAlign w:val="center"/>
            <w:hideMark/>
          </w:tcPr>
          <w:p w14:paraId="1B7E73C2" w14:textId="77777777" w:rsidR="004C2A38" w:rsidRPr="004C2A38" w:rsidRDefault="004C2A38" w:rsidP="004C2A38">
            <w:pPr>
              <w:spacing w:after="120" w:line="240" w:lineRule="auto"/>
              <w:ind w:left="110"/>
              <w:rPr>
                <w:sz w:val="22"/>
                <w:szCs w:val="22"/>
              </w:rPr>
            </w:pPr>
            <w:r w:rsidRPr="004C2A38">
              <w:rPr>
                <w:b/>
                <w:bCs/>
                <w:sz w:val="22"/>
                <w:szCs w:val="22"/>
              </w:rPr>
              <w:t>US Federal Law</w:t>
            </w:r>
          </w:p>
        </w:tc>
        <w:tc>
          <w:tcPr>
            <w:tcW w:w="0" w:type="auto"/>
            <w:tcBorders>
              <w:top w:val="single" w:sz="6" w:space="0" w:color="auto"/>
              <w:left w:val="single" w:sz="6" w:space="0" w:color="auto"/>
              <w:bottom w:val="single" w:sz="6" w:space="0" w:color="auto"/>
              <w:right w:val="single" w:sz="6" w:space="0" w:color="auto"/>
            </w:tcBorders>
            <w:vAlign w:val="center"/>
            <w:hideMark/>
          </w:tcPr>
          <w:p w14:paraId="5D2B8FF3" w14:textId="77777777" w:rsidR="004C2A38" w:rsidRPr="004C2A38" w:rsidRDefault="004C2A38" w:rsidP="004C2A38">
            <w:pPr>
              <w:spacing w:after="120" w:line="240" w:lineRule="auto"/>
              <w:ind w:left="110"/>
              <w:rPr>
                <w:sz w:val="22"/>
                <w:szCs w:val="22"/>
              </w:rPr>
            </w:pPr>
            <w:r w:rsidRPr="004C2A38">
              <w:rPr>
                <w:sz w:val="22"/>
                <w:szCs w:val="22"/>
              </w:rPr>
              <w:t>Primary compute for North and South American trust participants.</w:t>
            </w:r>
          </w:p>
        </w:tc>
      </w:tr>
    </w:tbl>
    <w:p w14:paraId="4F2E248D" w14:textId="405B7EE4" w:rsidR="004C2A38" w:rsidRPr="004C2A38" w:rsidRDefault="004C2A38" w:rsidP="004C2A38">
      <w:pPr>
        <w:spacing w:before="120" w:after="120" w:line="240" w:lineRule="auto"/>
        <w:rPr>
          <w:b/>
          <w:bCs/>
        </w:rPr>
      </w:pPr>
      <w:r w:rsidRPr="004C2A38">
        <w:rPr>
          <w:b/>
          <w:bCs/>
        </w:rPr>
        <w:t>Stressed Exit &amp; The "Bermuda Veto"</w:t>
      </w:r>
    </w:p>
    <w:p w14:paraId="383D1488" w14:textId="77777777" w:rsidR="004C2A38" w:rsidRPr="004C2A38" w:rsidRDefault="004C2A38" w:rsidP="004C2A38">
      <w:pPr>
        <w:spacing w:after="120" w:line="240" w:lineRule="auto"/>
        <w:rPr>
          <w:sz w:val="22"/>
          <w:szCs w:val="22"/>
        </w:rPr>
      </w:pPr>
      <w:r w:rsidRPr="004C2A38">
        <w:rPr>
          <w:sz w:val="22"/>
          <w:szCs w:val="22"/>
        </w:rPr>
        <w:t xml:space="preserve">To protect client interests in the event of a jurisdictional crisis, GSCX implements a </w:t>
      </w:r>
      <w:r w:rsidRPr="004C2A38">
        <w:rPr>
          <w:b/>
          <w:bCs/>
          <w:sz w:val="22"/>
          <w:szCs w:val="22"/>
        </w:rPr>
        <w:t>Stressed Exit</w:t>
      </w:r>
      <w:r w:rsidRPr="004C2A38">
        <w:rPr>
          <w:sz w:val="22"/>
          <w:szCs w:val="22"/>
        </w:rPr>
        <w:t xml:space="preserve"> protocol.</w:t>
      </w:r>
    </w:p>
    <w:p w14:paraId="1A49810C" w14:textId="77777777" w:rsidR="004C2A38" w:rsidRPr="004C2A38" w:rsidRDefault="004C2A38" w:rsidP="004C2A38">
      <w:pPr>
        <w:numPr>
          <w:ilvl w:val="0"/>
          <w:numId w:val="41"/>
        </w:numPr>
        <w:spacing w:after="120" w:line="240" w:lineRule="auto"/>
        <w:rPr>
          <w:sz w:val="22"/>
          <w:szCs w:val="22"/>
        </w:rPr>
      </w:pPr>
      <w:r w:rsidRPr="004C2A38">
        <w:rPr>
          <w:b/>
          <w:bCs/>
          <w:sz w:val="22"/>
          <w:szCs w:val="22"/>
        </w:rPr>
        <w:t>Bermuda Veto Shard:</w:t>
      </w:r>
      <w:r w:rsidRPr="004C2A38">
        <w:rPr>
          <w:sz w:val="22"/>
          <w:szCs w:val="22"/>
        </w:rPr>
        <w:t xml:space="preserve"> One of the three MPC shards is hosted exclusively in Bermuda.</w:t>
      </w:r>
    </w:p>
    <w:p w14:paraId="10E86275" w14:textId="3CBEE9FC" w:rsidR="004C2A38" w:rsidRPr="004C2A38" w:rsidRDefault="004C2A38" w:rsidP="004C2A38">
      <w:pPr>
        <w:numPr>
          <w:ilvl w:val="0"/>
          <w:numId w:val="41"/>
        </w:numPr>
        <w:spacing w:after="120" w:line="240" w:lineRule="auto"/>
        <w:rPr>
          <w:sz w:val="22"/>
          <w:szCs w:val="22"/>
        </w:rPr>
      </w:pPr>
      <w:r w:rsidRPr="004C2A38">
        <w:rPr>
          <w:b/>
          <w:bCs/>
          <w:sz w:val="22"/>
          <w:szCs w:val="22"/>
        </w:rPr>
        <w:t>Regulatory Veto:</w:t>
      </w:r>
      <w:r w:rsidRPr="004C2A38">
        <w:rPr>
          <w:sz w:val="22"/>
          <w:szCs w:val="22"/>
        </w:rPr>
        <w:t xml:space="preserve"> </w:t>
      </w:r>
      <w:r>
        <w:rPr>
          <w:sz w:val="22"/>
          <w:szCs w:val="22"/>
        </w:rPr>
        <w:t xml:space="preserve">Since a </w:t>
      </w:r>
      <w:r w:rsidRPr="004C2A38">
        <w:rPr>
          <w:sz w:val="22"/>
          <w:szCs w:val="22"/>
        </w:rPr>
        <w:t xml:space="preserve">2-of-3 signature is required to move assets, the Bermuda-regulated entity retains the power to block asset seizures by </w:t>
      </w:r>
      <w:r>
        <w:rPr>
          <w:sz w:val="22"/>
          <w:szCs w:val="22"/>
        </w:rPr>
        <w:t>any</w:t>
      </w:r>
      <w:r w:rsidRPr="004C2A38">
        <w:rPr>
          <w:sz w:val="22"/>
          <w:szCs w:val="22"/>
        </w:rPr>
        <w:t xml:space="preserve"> jurisdiction by refusing to pair its shard.</w:t>
      </w:r>
    </w:p>
    <w:p w14:paraId="3E15E5B7" w14:textId="327DC888" w:rsidR="004C2A38" w:rsidRPr="004C2A38" w:rsidRDefault="004C2A38" w:rsidP="004C2A38">
      <w:pPr>
        <w:numPr>
          <w:ilvl w:val="0"/>
          <w:numId w:val="41"/>
        </w:numPr>
        <w:spacing w:after="120" w:line="240" w:lineRule="auto"/>
        <w:rPr>
          <w:sz w:val="22"/>
          <w:szCs w:val="22"/>
        </w:rPr>
      </w:pPr>
      <w:r w:rsidRPr="004C2A38">
        <w:rPr>
          <w:b/>
          <w:bCs/>
          <w:sz w:val="22"/>
          <w:szCs w:val="22"/>
        </w:rPr>
        <w:t>Sovereign Protection:</w:t>
      </w:r>
      <w:r w:rsidRPr="004C2A38">
        <w:rPr>
          <w:sz w:val="22"/>
          <w:szCs w:val="22"/>
        </w:rPr>
        <w:t xml:space="preserve"> This provides a mathematical guarantee to Sovereign Wealth Funds that their assets </w:t>
      </w:r>
      <w:r>
        <w:rPr>
          <w:sz w:val="22"/>
          <w:szCs w:val="22"/>
        </w:rPr>
        <w:t>cannot be frozen</w:t>
      </w:r>
      <w:r w:rsidRPr="004C2A38">
        <w:rPr>
          <w:sz w:val="22"/>
          <w:szCs w:val="22"/>
        </w:rPr>
        <w:t xml:space="preserve"> </w:t>
      </w:r>
      <w:r>
        <w:rPr>
          <w:sz w:val="22"/>
          <w:szCs w:val="22"/>
        </w:rPr>
        <w:t>without</w:t>
      </w:r>
      <w:r w:rsidRPr="004C2A38">
        <w:rPr>
          <w:sz w:val="22"/>
          <w:szCs w:val="22"/>
        </w:rPr>
        <w:t xml:space="preserve"> </w:t>
      </w:r>
      <w:r>
        <w:rPr>
          <w:sz w:val="22"/>
          <w:szCs w:val="22"/>
        </w:rPr>
        <w:t xml:space="preserve">the </w:t>
      </w:r>
      <w:r w:rsidRPr="004C2A38">
        <w:rPr>
          <w:sz w:val="22"/>
          <w:szCs w:val="22"/>
        </w:rPr>
        <w:t>Bermuda node.</w:t>
      </w:r>
    </w:p>
    <w:p w14:paraId="36FBBAFD" w14:textId="0F0BEE52" w:rsidR="004C2A38" w:rsidRPr="004C2A38" w:rsidRDefault="004C2A38" w:rsidP="004C2A38">
      <w:pPr>
        <w:spacing w:after="120" w:line="240" w:lineRule="auto"/>
        <w:rPr>
          <w:b/>
          <w:bCs/>
        </w:rPr>
      </w:pPr>
      <w:r w:rsidRPr="004C2A38">
        <w:rPr>
          <w:b/>
          <w:bCs/>
        </w:rPr>
        <w:t>Critical Fiduciary Services</w:t>
      </w:r>
    </w:p>
    <w:p w14:paraId="72414C15" w14:textId="77777777" w:rsidR="004C2A38" w:rsidRPr="004C2A38" w:rsidRDefault="004C2A38" w:rsidP="004C2A38">
      <w:pPr>
        <w:spacing w:after="120" w:line="240" w:lineRule="auto"/>
        <w:rPr>
          <w:sz w:val="22"/>
          <w:szCs w:val="22"/>
        </w:rPr>
      </w:pPr>
      <w:r w:rsidRPr="004C2A38">
        <w:rPr>
          <w:sz w:val="22"/>
          <w:szCs w:val="22"/>
        </w:rPr>
        <w:t xml:space="preserve">GSCX maps its fiduciary duties to the BMA’s </w:t>
      </w:r>
      <w:r w:rsidRPr="004C2A38">
        <w:rPr>
          <w:b/>
          <w:bCs/>
          <w:sz w:val="22"/>
          <w:szCs w:val="22"/>
        </w:rPr>
        <w:t>"Important Business Services" (IBS)</w:t>
      </w:r>
      <w:r w:rsidRPr="004C2A38">
        <w:rPr>
          <w:sz w:val="22"/>
          <w:szCs w:val="22"/>
        </w:rPr>
        <w:t xml:space="preserve"> standards.</w:t>
      </w:r>
    </w:p>
    <w:p w14:paraId="4E10A91B" w14:textId="77777777" w:rsidR="004C2A38" w:rsidRPr="004C2A38" w:rsidRDefault="004C2A38" w:rsidP="004C2A38">
      <w:pPr>
        <w:numPr>
          <w:ilvl w:val="0"/>
          <w:numId w:val="42"/>
        </w:numPr>
        <w:spacing w:after="120" w:line="240" w:lineRule="auto"/>
        <w:rPr>
          <w:sz w:val="22"/>
          <w:szCs w:val="22"/>
        </w:rPr>
      </w:pPr>
      <w:r w:rsidRPr="004C2A38">
        <w:rPr>
          <w:b/>
          <w:bCs/>
          <w:sz w:val="22"/>
          <w:szCs w:val="22"/>
        </w:rPr>
        <w:t>Private Key Signing:</w:t>
      </w:r>
      <w:r w:rsidRPr="004C2A38">
        <w:rPr>
          <w:sz w:val="22"/>
          <w:szCs w:val="22"/>
        </w:rPr>
        <w:t xml:space="preserve"> Managed via </w:t>
      </w:r>
      <w:r w:rsidRPr="004C2A38">
        <w:rPr>
          <w:b/>
          <w:bCs/>
          <w:sz w:val="22"/>
          <w:szCs w:val="22"/>
        </w:rPr>
        <w:t>Crypto Express 8S</w:t>
      </w:r>
      <w:r w:rsidRPr="004C2A38">
        <w:rPr>
          <w:sz w:val="22"/>
          <w:szCs w:val="22"/>
        </w:rPr>
        <w:t xml:space="preserve"> on LinuxONE with threshold signatures.</w:t>
      </w:r>
    </w:p>
    <w:p w14:paraId="703444CD" w14:textId="77777777" w:rsidR="004C2A38" w:rsidRPr="004C2A38" w:rsidRDefault="004C2A38" w:rsidP="004C2A38">
      <w:pPr>
        <w:numPr>
          <w:ilvl w:val="0"/>
          <w:numId w:val="42"/>
        </w:numPr>
        <w:spacing w:after="120" w:line="240" w:lineRule="auto"/>
        <w:rPr>
          <w:sz w:val="22"/>
          <w:szCs w:val="22"/>
        </w:rPr>
      </w:pPr>
      <w:r w:rsidRPr="004C2A38">
        <w:rPr>
          <w:b/>
          <w:bCs/>
          <w:sz w:val="22"/>
          <w:szCs w:val="22"/>
        </w:rPr>
        <w:t>Transaction Ledger:</w:t>
      </w:r>
      <w:r w:rsidRPr="004C2A38">
        <w:rPr>
          <w:sz w:val="22"/>
          <w:szCs w:val="22"/>
        </w:rPr>
        <w:t xml:space="preserve"> Secured by </w:t>
      </w:r>
      <w:r w:rsidRPr="004C2A38">
        <w:rPr>
          <w:b/>
          <w:bCs/>
          <w:sz w:val="22"/>
          <w:szCs w:val="22"/>
        </w:rPr>
        <w:t>IBM Hyper Protect DB</w:t>
      </w:r>
      <w:r w:rsidRPr="004C2A38">
        <w:rPr>
          <w:sz w:val="22"/>
          <w:szCs w:val="22"/>
        </w:rPr>
        <w:t xml:space="preserve"> with synchronous mirroring to the Bermuda Cloud.</w:t>
      </w:r>
    </w:p>
    <w:p w14:paraId="20405E11" w14:textId="77777777" w:rsidR="004C2A38" w:rsidRPr="004C2A38" w:rsidRDefault="004C2A38" w:rsidP="004C2A38">
      <w:pPr>
        <w:numPr>
          <w:ilvl w:val="0"/>
          <w:numId w:val="42"/>
        </w:numPr>
        <w:spacing w:after="120" w:line="240" w:lineRule="auto"/>
        <w:rPr>
          <w:sz w:val="22"/>
          <w:szCs w:val="22"/>
        </w:rPr>
      </w:pPr>
      <w:r w:rsidRPr="004C2A38">
        <w:rPr>
          <w:b/>
          <w:bCs/>
          <w:sz w:val="22"/>
          <w:szCs w:val="22"/>
        </w:rPr>
        <w:t>Audit Logging:</w:t>
      </w:r>
      <w:r w:rsidRPr="004C2A38">
        <w:rPr>
          <w:sz w:val="22"/>
          <w:szCs w:val="22"/>
        </w:rPr>
        <w:t xml:space="preserve"> Maintained in an </w:t>
      </w:r>
      <w:r w:rsidRPr="004C2A38">
        <w:rPr>
          <w:b/>
          <w:bCs/>
          <w:sz w:val="22"/>
          <w:szCs w:val="22"/>
        </w:rPr>
        <w:t>Immutable LinuxONE Journal</w:t>
      </w:r>
      <w:r w:rsidRPr="004C2A38">
        <w:rPr>
          <w:sz w:val="22"/>
          <w:szCs w:val="22"/>
        </w:rPr>
        <w:t xml:space="preserve"> with a real-time "Shadow" vault in Bermuda for regulatory inspection.</w:t>
      </w:r>
    </w:p>
    <w:p w14:paraId="2F15F107" w14:textId="3B0A5FED" w:rsidR="004C2A38" w:rsidRPr="004C2A38" w:rsidRDefault="004C2A38" w:rsidP="004C2A38">
      <w:pPr>
        <w:spacing w:after="120" w:line="240" w:lineRule="auto"/>
        <w:rPr>
          <w:b/>
          <w:bCs/>
        </w:rPr>
      </w:pPr>
      <w:r w:rsidRPr="004C2A38">
        <w:rPr>
          <w:b/>
          <w:bCs/>
        </w:rPr>
        <w:t>Institutional Moat</w:t>
      </w:r>
    </w:p>
    <w:p w14:paraId="4CB52EF2" w14:textId="05F80D36" w:rsidR="00F0030B" w:rsidRDefault="004C2A38" w:rsidP="00F0030B">
      <w:pPr>
        <w:spacing w:after="120" w:line="240" w:lineRule="auto"/>
        <w:rPr>
          <w:sz w:val="22"/>
          <w:szCs w:val="22"/>
        </w:rPr>
      </w:pPr>
      <w:r w:rsidRPr="004C2A38">
        <w:rPr>
          <w:sz w:val="22"/>
          <w:szCs w:val="22"/>
        </w:rPr>
        <w:t xml:space="preserve">The GSCX Trust and Fiduciary unit transforms infrastructure into a revenue-generating </w:t>
      </w:r>
      <w:r w:rsidRPr="004C2A38">
        <w:rPr>
          <w:b/>
          <w:bCs/>
          <w:sz w:val="22"/>
          <w:szCs w:val="22"/>
        </w:rPr>
        <w:t>"Resilience as a Product"</w:t>
      </w:r>
      <w:r w:rsidRPr="004C2A38">
        <w:rPr>
          <w:sz w:val="22"/>
          <w:szCs w:val="22"/>
        </w:rPr>
        <w:t xml:space="preserve">. By meeting </w:t>
      </w:r>
      <w:r w:rsidRPr="004C2A38">
        <w:rPr>
          <w:b/>
          <w:bCs/>
          <w:sz w:val="22"/>
          <w:szCs w:val="22"/>
        </w:rPr>
        <w:t>Central Bank Standards</w:t>
      </w:r>
      <w:r w:rsidRPr="004C2A38">
        <w:rPr>
          <w:sz w:val="22"/>
          <w:szCs w:val="22"/>
        </w:rPr>
        <w:t xml:space="preserve"> for security and </w:t>
      </w:r>
      <w:r w:rsidRPr="004C2A38">
        <w:rPr>
          <w:b/>
          <w:bCs/>
          <w:sz w:val="22"/>
          <w:szCs w:val="22"/>
        </w:rPr>
        <w:t>SIFU-grade</w:t>
      </w:r>
      <w:r w:rsidRPr="004C2A38">
        <w:rPr>
          <w:sz w:val="22"/>
          <w:szCs w:val="22"/>
        </w:rPr>
        <w:t xml:space="preserve"> resilience, GSCX can offer </w:t>
      </w:r>
      <w:r w:rsidRPr="004C2A38">
        <w:rPr>
          <w:b/>
          <w:bCs/>
          <w:sz w:val="22"/>
          <w:szCs w:val="22"/>
        </w:rPr>
        <w:t>Guaranteed Settlement Finality</w:t>
      </w:r>
      <w:r w:rsidRPr="004C2A38">
        <w:rPr>
          <w:sz w:val="22"/>
          <w:szCs w:val="22"/>
        </w:rPr>
        <w:t xml:space="preserve"> and fiduciary insurance through its Bermuda Captive entity.</w:t>
      </w:r>
    </w:p>
    <w:p w14:paraId="1806E0C1" w14:textId="77777777" w:rsidR="00A974F5" w:rsidRPr="00A974F5" w:rsidRDefault="00A974F5" w:rsidP="00A974F5">
      <w:pPr>
        <w:spacing w:after="120" w:line="240" w:lineRule="auto"/>
        <w:rPr>
          <w:sz w:val="22"/>
          <w:szCs w:val="22"/>
        </w:rPr>
      </w:pPr>
      <w:r w:rsidRPr="00A974F5">
        <w:rPr>
          <w:sz w:val="22"/>
          <w:szCs w:val="22"/>
        </w:rPr>
        <w:t xml:space="preserve">The </w:t>
      </w:r>
      <w:r w:rsidRPr="00A974F5">
        <w:rPr>
          <w:b/>
          <w:bCs/>
          <w:sz w:val="22"/>
          <w:szCs w:val="22"/>
        </w:rPr>
        <w:t>GSCX Captive Insurance</w:t>
      </w:r>
      <w:r w:rsidRPr="00A974F5">
        <w:rPr>
          <w:sz w:val="22"/>
          <w:szCs w:val="22"/>
        </w:rPr>
        <w:t xml:space="preserve"> entity is a strategic cornerstone of </w:t>
      </w:r>
      <w:proofErr w:type="gramStart"/>
      <w:r w:rsidRPr="00A974F5">
        <w:rPr>
          <w:sz w:val="22"/>
          <w:szCs w:val="22"/>
        </w:rPr>
        <w:t>the "</w:t>
      </w:r>
      <w:proofErr w:type="gramEnd"/>
      <w:r w:rsidRPr="00A974F5">
        <w:rPr>
          <w:sz w:val="22"/>
          <w:szCs w:val="22"/>
        </w:rPr>
        <w:t xml:space="preserve">Sovereign Fortress" architecture. It transforms the technical security of the </w:t>
      </w:r>
      <w:r w:rsidRPr="00A974F5">
        <w:rPr>
          <w:b/>
          <w:bCs/>
          <w:sz w:val="22"/>
          <w:szCs w:val="22"/>
        </w:rPr>
        <w:t>IBM LinuxONE</w:t>
      </w:r>
      <w:r w:rsidRPr="00A974F5">
        <w:rPr>
          <w:sz w:val="22"/>
          <w:szCs w:val="22"/>
        </w:rPr>
        <w:t xml:space="preserve"> and the </w:t>
      </w:r>
      <w:r w:rsidRPr="00A974F5">
        <w:rPr>
          <w:b/>
          <w:bCs/>
          <w:sz w:val="22"/>
          <w:szCs w:val="22"/>
        </w:rPr>
        <w:t>2-of-3 MPC Sharding</w:t>
      </w:r>
      <w:r w:rsidRPr="00A974F5">
        <w:rPr>
          <w:sz w:val="22"/>
          <w:szCs w:val="22"/>
        </w:rPr>
        <w:t xml:space="preserve"> into a legally binding financial guarantee.</w:t>
      </w:r>
    </w:p>
    <w:p w14:paraId="5AE8F7F2" w14:textId="77777777" w:rsidR="00A974F5" w:rsidRPr="00A974F5" w:rsidRDefault="00A974F5" w:rsidP="00A974F5">
      <w:pPr>
        <w:spacing w:after="120" w:line="240" w:lineRule="auto"/>
        <w:rPr>
          <w:sz w:val="22"/>
          <w:szCs w:val="22"/>
        </w:rPr>
      </w:pPr>
      <w:r w:rsidRPr="00A974F5">
        <w:rPr>
          <w:sz w:val="22"/>
          <w:szCs w:val="22"/>
        </w:rPr>
        <w:lastRenderedPageBreak/>
        <w:t>By utilizing a Bermuda-domiciled captive, GSCX provides a layer of protection that traditional commercial insurers—often subject to broad exclusions and U.S. jurisdictional "long-arm" reach—cannot match.</w:t>
      </w:r>
    </w:p>
    <w:p w14:paraId="367CE2B8" w14:textId="32EB824D" w:rsidR="00A974F5" w:rsidRPr="00A974F5" w:rsidRDefault="00A974F5" w:rsidP="00A974F5">
      <w:pPr>
        <w:spacing w:after="120" w:line="240" w:lineRule="auto"/>
        <w:rPr>
          <w:b/>
          <w:bCs/>
        </w:rPr>
      </w:pPr>
      <w:r w:rsidRPr="00A974F5">
        <w:rPr>
          <w:b/>
          <w:bCs/>
        </w:rPr>
        <w:t>Guaranteed Settlement Finality</w:t>
      </w:r>
    </w:p>
    <w:p w14:paraId="70128495" w14:textId="77777777" w:rsidR="00A974F5" w:rsidRPr="00A974F5" w:rsidRDefault="00A974F5" w:rsidP="00A974F5">
      <w:pPr>
        <w:spacing w:after="120" w:line="240" w:lineRule="auto"/>
        <w:rPr>
          <w:sz w:val="22"/>
          <w:szCs w:val="22"/>
        </w:rPr>
      </w:pPr>
      <w:r w:rsidRPr="00A974F5">
        <w:rPr>
          <w:sz w:val="22"/>
          <w:szCs w:val="22"/>
        </w:rPr>
        <w:t xml:space="preserve">In a traditional clearinghouse (CCP) model, settlement finality is a legal promise. In the GSCX model, it is a </w:t>
      </w:r>
      <w:r w:rsidRPr="00A974F5">
        <w:rPr>
          <w:b/>
          <w:bCs/>
          <w:sz w:val="22"/>
          <w:szCs w:val="22"/>
        </w:rPr>
        <w:t>fully collateralized insurance product</w:t>
      </w:r>
      <w:r w:rsidRPr="00A974F5">
        <w:rPr>
          <w:sz w:val="22"/>
          <w:szCs w:val="22"/>
        </w:rPr>
        <w:t>.</w:t>
      </w:r>
    </w:p>
    <w:p w14:paraId="11753CDF" w14:textId="0210FB9D" w:rsidR="00A974F5" w:rsidRPr="00A974F5" w:rsidRDefault="00A974F5" w:rsidP="00A974F5">
      <w:pPr>
        <w:numPr>
          <w:ilvl w:val="0"/>
          <w:numId w:val="43"/>
        </w:numPr>
        <w:spacing w:after="120" w:line="240" w:lineRule="auto"/>
        <w:rPr>
          <w:sz w:val="22"/>
          <w:szCs w:val="22"/>
        </w:rPr>
      </w:pPr>
      <w:r w:rsidRPr="00A974F5">
        <w:rPr>
          <w:b/>
          <w:bCs/>
          <w:sz w:val="22"/>
          <w:szCs w:val="22"/>
        </w:rPr>
        <w:t>Failure-to-Settle Coverage:</w:t>
      </w:r>
      <w:r w:rsidRPr="00A974F5">
        <w:rPr>
          <w:sz w:val="22"/>
          <w:szCs w:val="22"/>
        </w:rPr>
        <w:t xml:space="preserve"> The Captive provides an insurance wrapper around the automated netting process. If a regional node failure or a "Stressed Exit" event creates a temporary liquidity gap or </w:t>
      </w:r>
      <w:r w:rsidR="005652F0">
        <w:rPr>
          <w:sz w:val="22"/>
          <w:szCs w:val="22"/>
        </w:rPr>
        <w:t>settlement delay</w:t>
      </w:r>
      <w:r w:rsidRPr="00A974F5">
        <w:rPr>
          <w:sz w:val="22"/>
          <w:szCs w:val="22"/>
        </w:rPr>
        <w:t>, the Captive triggers an immediate indemnity payment.</w:t>
      </w:r>
    </w:p>
    <w:p w14:paraId="59ACEA7C" w14:textId="4769C5C4" w:rsidR="00A974F5" w:rsidRPr="00A974F5" w:rsidRDefault="00A974F5" w:rsidP="00A974F5">
      <w:pPr>
        <w:numPr>
          <w:ilvl w:val="0"/>
          <w:numId w:val="43"/>
        </w:numPr>
        <w:spacing w:after="120" w:line="240" w:lineRule="auto"/>
        <w:rPr>
          <w:sz w:val="22"/>
          <w:szCs w:val="22"/>
        </w:rPr>
      </w:pPr>
      <w:r w:rsidRPr="00A974F5">
        <w:rPr>
          <w:b/>
          <w:bCs/>
          <w:sz w:val="22"/>
          <w:szCs w:val="22"/>
        </w:rPr>
        <w:t>Proof of Solvency:</w:t>
      </w:r>
      <w:r w:rsidRPr="00A974F5">
        <w:rPr>
          <w:sz w:val="22"/>
          <w:szCs w:val="22"/>
        </w:rPr>
        <w:t xml:space="preserve"> The Captive holds capital reserves specifically earmarked for "systemic events." Because these reserves are held within the Bermuda nexus and mapped to the </w:t>
      </w:r>
      <w:r w:rsidRPr="00A974F5">
        <w:rPr>
          <w:b/>
          <w:bCs/>
          <w:sz w:val="22"/>
          <w:szCs w:val="22"/>
        </w:rPr>
        <w:t>BMA Insurance Code of Conduct</w:t>
      </w:r>
      <w:r w:rsidRPr="00A974F5">
        <w:rPr>
          <w:sz w:val="22"/>
          <w:szCs w:val="22"/>
        </w:rPr>
        <w:t xml:space="preserve">, they are protected from </w:t>
      </w:r>
      <w:r w:rsidR="005652F0">
        <w:rPr>
          <w:sz w:val="22"/>
          <w:szCs w:val="22"/>
        </w:rPr>
        <w:t>freezing or seizure</w:t>
      </w:r>
      <w:r w:rsidRPr="00A974F5">
        <w:rPr>
          <w:sz w:val="22"/>
          <w:szCs w:val="22"/>
        </w:rPr>
        <w:t xml:space="preserve"> by outside jurisdictions during a trade dispute.</w:t>
      </w:r>
    </w:p>
    <w:p w14:paraId="59AC8F15" w14:textId="77777777" w:rsidR="00A974F5" w:rsidRPr="00A974F5" w:rsidRDefault="00A974F5" w:rsidP="00A974F5">
      <w:pPr>
        <w:numPr>
          <w:ilvl w:val="0"/>
          <w:numId w:val="43"/>
        </w:numPr>
        <w:spacing w:after="120" w:line="240" w:lineRule="auto"/>
        <w:rPr>
          <w:sz w:val="22"/>
          <w:szCs w:val="22"/>
        </w:rPr>
      </w:pPr>
      <w:r w:rsidRPr="00A974F5">
        <w:rPr>
          <w:b/>
          <w:bCs/>
          <w:sz w:val="22"/>
          <w:szCs w:val="22"/>
        </w:rPr>
        <w:t>Institutional Trust:</w:t>
      </w:r>
      <w:r w:rsidRPr="00A974F5">
        <w:rPr>
          <w:sz w:val="22"/>
          <w:szCs w:val="22"/>
        </w:rPr>
        <w:t xml:space="preserve"> This guarantee allows GSCX to offer "Instant Settlement Finality" to Sovereign Wealth Funds, as the Captive effectively underwrites the atomic swap on the ledger.</w:t>
      </w:r>
    </w:p>
    <w:p w14:paraId="4BF9F205" w14:textId="2B585EDB" w:rsidR="00A974F5" w:rsidRPr="00A974F5" w:rsidRDefault="00A974F5" w:rsidP="00A974F5">
      <w:pPr>
        <w:spacing w:after="120" w:line="240" w:lineRule="auto"/>
        <w:rPr>
          <w:b/>
          <w:bCs/>
        </w:rPr>
      </w:pPr>
      <w:r w:rsidRPr="00A974F5">
        <w:rPr>
          <w:b/>
          <w:bCs/>
        </w:rPr>
        <w:t>Safety of Private Keys: The Digital Asset Bond</w:t>
      </w:r>
    </w:p>
    <w:p w14:paraId="4EC6780A" w14:textId="414EBDFC" w:rsidR="00A974F5" w:rsidRPr="00A974F5" w:rsidRDefault="00A974F5" w:rsidP="00A974F5">
      <w:pPr>
        <w:spacing w:after="120" w:line="240" w:lineRule="auto"/>
        <w:rPr>
          <w:sz w:val="22"/>
          <w:szCs w:val="22"/>
        </w:rPr>
      </w:pPr>
      <w:r w:rsidRPr="00A974F5">
        <w:rPr>
          <w:sz w:val="22"/>
          <w:szCs w:val="22"/>
        </w:rPr>
        <w:t xml:space="preserve">GSCX Captive provides </w:t>
      </w:r>
      <w:r w:rsidR="005652F0">
        <w:rPr>
          <w:sz w:val="22"/>
          <w:szCs w:val="22"/>
        </w:rPr>
        <w:t xml:space="preserve">specialized </w:t>
      </w:r>
      <w:r w:rsidRPr="00A974F5">
        <w:rPr>
          <w:sz w:val="22"/>
          <w:szCs w:val="22"/>
        </w:rPr>
        <w:t xml:space="preserve">coverage for the </w:t>
      </w:r>
      <w:r w:rsidRPr="00A974F5">
        <w:rPr>
          <w:b/>
          <w:bCs/>
          <w:sz w:val="22"/>
          <w:szCs w:val="22"/>
        </w:rPr>
        <w:t>2-of-3 Multi-Party Computation (MPC)</w:t>
      </w:r>
      <w:r w:rsidRPr="00A974F5">
        <w:rPr>
          <w:sz w:val="22"/>
          <w:szCs w:val="22"/>
        </w:rPr>
        <w:t xml:space="preserve"> shards.</w:t>
      </w:r>
    </w:p>
    <w:p w14:paraId="2EF809C0" w14:textId="27A4A500" w:rsidR="00A974F5" w:rsidRPr="00A974F5" w:rsidRDefault="00A974F5" w:rsidP="00A974F5">
      <w:pPr>
        <w:numPr>
          <w:ilvl w:val="0"/>
          <w:numId w:val="44"/>
        </w:numPr>
        <w:spacing w:after="120" w:line="240" w:lineRule="auto"/>
        <w:rPr>
          <w:sz w:val="22"/>
          <w:szCs w:val="22"/>
        </w:rPr>
      </w:pPr>
      <w:r w:rsidRPr="00A974F5">
        <w:rPr>
          <w:b/>
          <w:bCs/>
          <w:sz w:val="22"/>
          <w:szCs w:val="22"/>
        </w:rPr>
        <w:t>Shard Restoration Indemnity:</w:t>
      </w:r>
      <w:r w:rsidRPr="00A974F5">
        <w:rPr>
          <w:sz w:val="22"/>
          <w:szCs w:val="22"/>
        </w:rPr>
        <w:t xml:space="preserve"> While the </w:t>
      </w:r>
      <w:r w:rsidRPr="00A974F5">
        <w:rPr>
          <w:b/>
          <w:bCs/>
          <w:sz w:val="22"/>
          <w:szCs w:val="22"/>
        </w:rPr>
        <w:t>Tri-Node architecture</w:t>
      </w:r>
      <w:r w:rsidRPr="00A974F5">
        <w:rPr>
          <w:sz w:val="22"/>
          <w:szCs w:val="22"/>
        </w:rPr>
        <w:t xml:space="preserve"> (USA, Switzerland, Bermuda) ensures that a single node failure doesn't lose the keys, the Captive provides a "Digital Asset Bond." If a shard is lost due to hardware failure or a </w:t>
      </w:r>
      <w:r w:rsidR="005652F0">
        <w:rPr>
          <w:sz w:val="22"/>
          <w:szCs w:val="22"/>
        </w:rPr>
        <w:t xml:space="preserve">cyber breach on an EAL5+ partition, the Captive covers the operational costs of implementing </w:t>
      </w:r>
      <w:r w:rsidRPr="00A974F5">
        <w:rPr>
          <w:sz w:val="22"/>
          <w:szCs w:val="22"/>
        </w:rPr>
        <w:t xml:space="preserve">the </w:t>
      </w:r>
      <w:r w:rsidRPr="00A974F5">
        <w:rPr>
          <w:b/>
          <w:bCs/>
          <w:sz w:val="22"/>
          <w:szCs w:val="22"/>
        </w:rPr>
        <w:t>Bermuda Air-Gap Protocol</w:t>
      </w:r>
      <w:r w:rsidRPr="00A974F5">
        <w:rPr>
          <w:sz w:val="22"/>
          <w:szCs w:val="22"/>
        </w:rPr>
        <w:t xml:space="preserve"> to reconstitute the keys from physical vaults.</w:t>
      </w:r>
    </w:p>
    <w:p w14:paraId="7C9AD6B9" w14:textId="77777777" w:rsidR="00A974F5" w:rsidRPr="00A974F5" w:rsidRDefault="00A974F5" w:rsidP="00A974F5">
      <w:pPr>
        <w:numPr>
          <w:ilvl w:val="0"/>
          <w:numId w:val="44"/>
        </w:numPr>
        <w:spacing w:after="120" w:line="240" w:lineRule="auto"/>
        <w:rPr>
          <w:sz w:val="22"/>
          <w:szCs w:val="22"/>
        </w:rPr>
      </w:pPr>
      <w:r w:rsidRPr="00A974F5">
        <w:rPr>
          <w:b/>
          <w:bCs/>
          <w:sz w:val="22"/>
          <w:szCs w:val="22"/>
        </w:rPr>
        <w:t>The "Veto" Protection:</w:t>
      </w:r>
      <w:r w:rsidRPr="00A974F5">
        <w:rPr>
          <w:sz w:val="22"/>
          <w:szCs w:val="22"/>
        </w:rPr>
        <w:t xml:space="preserve"> The Captive can be structured to pay out only if the </w:t>
      </w:r>
      <w:r w:rsidRPr="00A974F5">
        <w:rPr>
          <w:b/>
          <w:bCs/>
          <w:sz w:val="22"/>
          <w:szCs w:val="22"/>
        </w:rPr>
        <w:t>Bermuda Shard</w:t>
      </w:r>
      <w:r w:rsidRPr="00A974F5">
        <w:rPr>
          <w:sz w:val="22"/>
          <w:szCs w:val="22"/>
        </w:rPr>
        <w:t xml:space="preserve"> is active, reinforcing the legal "Mind and Management" requirement. This ensures that the financial protection is inextricably linked to GSCX's regulatory home in Bermuda.</w:t>
      </w:r>
    </w:p>
    <w:p w14:paraId="5B2C7E74" w14:textId="5AB8AA4F" w:rsidR="00A974F5" w:rsidRPr="00A974F5" w:rsidRDefault="00A974F5" w:rsidP="00A974F5">
      <w:pPr>
        <w:spacing w:after="120" w:line="240" w:lineRule="auto"/>
        <w:rPr>
          <w:b/>
          <w:bCs/>
        </w:rPr>
      </w:pPr>
      <w:r w:rsidRPr="00A974F5">
        <w:rPr>
          <w:b/>
          <w:bCs/>
        </w:rPr>
        <w:t>Enhancing the Sovereign Fortress</w:t>
      </w:r>
    </w:p>
    <w:p w14:paraId="54FBFCBC" w14:textId="77777777" w:rsidR="00A974F5" w:rsidRPr="00A974F5" w:rsidRDefault="00A974F5" w:rsidP="00A974F5">
      <w:pPr>
        <w:spacing w:after="120" w:line="240" w:lineRule="auto"/>
        <w:rPr>
          <w:sz w:val="22"/>
          <w:szCs w:val="22"/>
        </w:rPr>
      </w:pPr>
      <w:r w:rsidRPr="00A974F5">
        <w:rPr>
          <w:sz w:val="22"/>
          <w:szCs w:val="22"/>
        </w:rPr>
        <w:t>The Captive acts as the "Financial Shield" that complements the "Technical Shield" of the mainframe.</w:t>
      </w:r>
    </w:p>
    <w:p w14:paraId="621B94E8" w14:textId="77777777" w:rsidR="00A974F5" w:rsidRPr="00A974F5" w:rsidRDefault="00A974F5" w:rsidP="00A974F5">
      <w:pPr>
        <w:numPr>
          <w:ilvl w:val="0"/>
          <w:numId w:val="45"/>
        </w:numPr>
        <w:spacing w:after="120" w:line="240" w:lineRule="auto"/>
        <w:rPr>
          <w:sz w:val="22"/>
          <w:szCs w:val="22"/>
        </w:rPr>
      </w:pPr>
      <w:r w:rsidRPr="00A974F5">
        <w:rPr>
          <w:b/>
          <w:bCs/>
          <w:sz w:val="22"/>
          <w:szCs w:val="22"/>
        </w:rPr>
        <w:t>Jurisdictional Decoupling of Risk:</w:t>
      </w:r>
      <w:r w:rsidRPr="00A974F5">
        <w:rPr>
          <w:sz w:val="22"/>
          <w:szCs w:val="22"/>
        </w:rPr>
        <w:t xml:space="preserve"> Traditional insurance policies for digital assets are often written by U.S. or UK firms. In a crisis involving the </w:t>
      </w:r>
      <w:r w:rsidRPr="00A974F5">
        <w:rPr>
          <w:b/>
          <w:bCs/>
          <w:sz w:val="22"/>
          <w:szCs w:val="22"/>
        </w:rPr>
        <w:t>U.S. CLOUD Act</w:t>
      </w:r>
      <w:r w:rsidRPr="00A974F5">
        <w:rPr>
          <w:sz w:val="22"/>
          <w:szCs w:val="22"/>
        </w:rPr>
        <w:t xml:space="preserve">, those insurers might be compelled to deny a claim or freeze a payout. The GSCX Captive, regulated by the </w:t>
      </w:r>
      <w:r w:rsidRPr="00A974F5">
        <w:rPr>
          <w:b/>
          <w:bCs/>
          <w:sz w:val="22"/>
          <w:szCs w:val="22"/>
        </w:rPr>
        <w:t>BMA</w:t>
      </w:r>
      <w:r w:rsidRPr="00A974F5">
        <w:rPr>
          <w:sz w:val="22"/>
          <w:szCs w:val="22"/>
        </w:rPr>
        <w:t>, ensures that the insurance proceeds are governed by Bermuda law, creating a financial firewall that matches the Swiss technical firewall.</w:t>
      </w:r>
    </w:p>
    <w:p w14:paraId="572C759A" w14:textId="77777777" w:rsidR="00A974F5" w:rsidRPr="00A974F5" w:rsidRDefault="00A974F5" w:rsidP="00A974F5">
      <w:pPr>
        <w:numPr>
          <w:ilvl w:val="0"/>
          <w:numId w:val="45"/>
        </w:numPr>
        <w:spacing w:after="120" w:line="240" w:lineRule="auto"/>
        <w:rPr>
          <w:sz w:val="22"/>
          <w:szCs w:val="22"/>
        </w:rPr>
      </w:pPr>
      <w:r w:rsidRPr="00A974F5">
        <w:rPr>
          <w:b/>
          <w:bCs/>
          <w:sz w:val="22"/>
          <w:szCs w:val="22"/>
        </w:rPr>
        <w:t>Resilience as a Product:</w:t>
      </w:r>
      <w:r w:rsidRPr="00A974F5">
        <w:rPr>
          <w:sz w:val="22"/>
          <w:szCs w:val="22"/>
        </w:rPr>
        <w:t xml:space="preserve"> GSCX can monetize its </w:t>
      </w:r>
      <w:r w:rsidRPr="00A974F5">
        <w:rPr>
          <w:b/>
          <w:bCs/>
          <w:sz w:val="22"/>
          <w:szCs w:val="22"/>
        </w:rPr>
        <w:t>99.999% uptime</w:t>
      </w:r>
      <w:r w:rsidRPr="00A974F5">
        <w:rPr>
          <w:sz w:val="22"/>
          <w:szCs w:val="22"/>
        </w:rPr>
        <w:t xml:space="preserve"> and </w:t>
      </w:r>
      <w:r w:rsidRPr="00A974F5">
        <w:rPr>
          <w:b/>
          <w:bCs/>
          <w:sz w:val="22"/>
          <w:szCs w:val="22"/>
        </w:rPr>
        <w:t>Near-Zero RPO</w:t>
      </w:r>
      <w:r w:rsidRPr="00A974F5">
        <w:rPr>
          <w:sz w:val="22"/>
          <w:szCs w:val="22"/>
        </w:rPr>
        <w:t>. Because the architecture is so secure (IBM LinuxONE, Crypto Express 8S), the risk of loss is mathematically lower. The Captive captures the "risk premium" that would otherwise go to third-party insurers, reinvesting those profits into further hardening the infrastructure.</w:t>
      </w:r>
    </w:p>
    <w:p w14:paraId="5FA86F4F" w14:textId="77777777" w:rsidR="00A974F5" w:rsidRPr="00A974F5" w:rsidRDefault="00A974F5" w:rsidP="00A974F5">
      <w:pPr>
        <w:numPr>
          <w:ilvl w:val="0"/>
          <w:numId w:val="45"/>
        </w:numPr>
        <w:spacing w:after="120" w:line="240" w:lineRule="auto"/>
        <w:rPr>
          <w:sz w:val="22"/>
          <w:szCs w:val="22"/>
        </w:rPr>
      </w:pPr>
      <w:r w:rsidRPr="00A974F5">
        <w:rPr>
          <w:b/>
          <w:bCs/>
          <w:sz w:val="22"/>
          <w:szCs w:val="22"/>
        </w:rPr>
        <w:lastRenderedPageBreak/>
        <w:t>Stressed Exit Continuity:</w:t>
      </w:r>
      <w:r w:rsidRPr="00A974F5">
        <w:rPr>
          <w:sz w:val="22"/>
          <w:szCs w:val="22"/>
        </w:rPr>
        <w:t xml:space="preserve"> During a </w:t>
      </w:r>
      <w:r w:rsidRPr="00A974F5">
        <w:rPr>
          <w:b/>
          <w:bCs/>
          <w:sz w:val="22"/>
          <w:szCs w:val="22"/>
        </w:rPr>
        <w:t>Stressed Exit</w:t>
      </w:r>
      <w:r w:rsidRPr="00A974F5">
        <w:rPr>
          <w:sz w:val="22"/>
          <w:szCs w:val="22"/>
        </w:rPr>
        <w:t>, the Captive provides the "Tail-Risk" capital required to maintain operations in Standalone Mode. This ensures that GSCX can fulfill its fiduciary duties even if it is temporarily disconnected from the U.S. or Swiss banking corridors.</w:t>
      </w:r>
    </w:p>
    <w:p w14:paraId="5BC305C9" w14:textId="77777777" w:rsidR="00A974F5" w:rsidRPr="00A974F5" w:rsidRDefault="00A974F5" w:rsidP="00A974F5">
      <w:pPr>
        <w:spacing w:after="120" w:line="240" w:lineRule="auto"/>
        <w:rPr>
          <w:b/>
          <w:bCs/>
        </w:rPr>
      </w:pPr>
      <w:r w:rsidRPr="00A974F5">
        <w:rPr>
          <w:b/>
          <w:bCs/>
        </w:rPr>
        <w:t>Summary of the Captive's Role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12"/>
        <w:gridCol w:w="2430"/>
        <w:gridCol w:w="5053"/>
      </w:tblGrid>
      <w:tr w:rsidR="00A974F5" w:rsidRPr="00A974F5" w14:paraId="6E0FF56E" w14:textId="77777777" w:rsidTr="00A974F5">
        <w:trPr>
          <w:tblHeader/>
          <w:tblCellSpacing w:w="15" w:type="dxa"/>
        </w:trPr>
        <w:tc>
          <w:tcPr>
            <w:tcW w:w="1567" w:type="dxa"/>
            <w:tcBorders>
              <w:top w:val="single" w:sz="6" w:space="0" w:color="auto"/>
              <w:left w:val="single" w:sz="6" w:space="0" w:color="auto"/>
              <w:bottom w:val="single" w:sz="6" w:space="0" w:color="auto"/>
              <w:right w:val="single" w:sz="6" w:space="0" w:color="auto"/>
            </w:tcBorders>
            <w:vAlign w:val="center"/>
            <w:hideMark/>
          </w:tcPr>
          <w:p w14:paraId="63C1D2EC" w14:textId="77777777" w:rsidR="00A974F5" w:rsidRPr="00A974F5" w:rsidRDefault="00A974F5" w:rsidP="00A974F5">
            <w:pPr>
              <w:spacing w:after="120" w:line="240" w:lineRule="auto"/>
              <w:ind w:left="110"/>
              <w:rPr>
                <w:sz w:val="22"/>
                <w:szCs w:val="22"/>
              </w:rPr>
            </w:pPr>
            <w:r w:rsidRPr="00A974F5">
              <w:rPr>
                <w:b/>
                <w:bCs/>
                <w:sz w:val="22"/>
                <w:szCs w:val="22"/>
              </w:rPr>
              <w:t>Feature</w:t>
            </w:r>
          </w:p>
        </w:tc>
        <w:tc>
          <w:tcPr>
            <w:tcW w:w="2400" w:type="dxa"/>
            <w:tcBorders>
              <w:top w:val="single" w:sz="6" w:space="0" w:color="auto"/>
              <w:left w:val="single" w:sz="6" w:space="0" w:color="auto"/>
              <w:bottom w:val="single" w:sz="6" w:space="0" w:color="auto"/>
              <w:right w:val="single" w:sz="6" w:space="0" w:color="auto"/>
            </w:tcBorders>
            <w:vAlign w:val="center"/>
            <w:hideMark/>
          </w:tcPr>
          <w:p w14:paraId="1DC59EF3" w14:textId="77777777" w:rsidR="00A974F5" w:rsidRPr="00A974F5" w:rsidRDefault="00A974F5" w:rsidP="00A974F5">
            <w:pPr>
              <w:spacing w:after="120" w:line="240" w:lineRule="auto"/>
              <w:ind w:left="110"/>
              <w:rPr>
                <w:sz w:val="22"/>
                <w:szCs w:val="22"/>
              </w:rPr>
            </w:pPr>
            <w:r w:rsidRPr="00A974F5">
              <w:rPr>
                <w:b/>
                <w:bCs/>
                <w:sz w:val="22"/>
                <w:szCs w:val="22"/>
              </w:rPr>
              <w:t>Technical Implementation</w:t>
            </w:r>
          </w:p>
        </w:tc>
        <w:tc>
          <w:tcPr>
            <w:tcW w:w="5008" w:type="dxa"/>
            <w:tcBorders>
              <w:top w:val="single" w:sz="6" w:space="0" w:color="auto"/>
              <w:left w:val="single" w:sz="6" w:space="0" w:color="auto"/>
              <w:bottom w:val="single" w:sz="6" w:space="0" w:color="auto"/>
              <w:right w:val="single" w:sz="6" w:space="0" w:color="auto"/>
            </w:tcBorders>
            <w:vAlign w:val="center"/>
            <w:hideMark/>
          </w:tcPr>
          <w:p w14:paraId="416F8361" w14:textId="77777777" w:rsidR="00A974F5" w:rsidRPr="00A974F5" w:rsidRDefault="00A974F5" w:rsidP="00A974F5">
            <w:pPr>
              <w:spacing w:after="120" w:line="240" w:lineRule="auto"/>
              <w:ind w:left="110"/>
              <w:rPr>
                <w:sz w:val="22"/>
                <w:szCs w:val="22"/>
              </w:rPr>
            </w:pPr>
            <w:r w:rsidRPr="00A974F5">
              <w:rPr>
                <w:b/>
                <w:bCs/>
                <w:sz w:val="22"/>
                <w:szCs w:val="22"/>
              </w:rPr>
              <w:t>Captive Enhancement</w:t>
            </w:r>
          </w:p>
        </w:tc>
      </w:tr>
      <w:tr w:rsidR="00A974F5" w:rsidRPr="00A974F5" w14:paraId="7A8C3C04" w14:textId="77777777" w:rsidTr="00A974F5">
        <w:trPr>
          <w:tblCellSpacing w:w="15" w:type="dxa"/>
        </w:trPr>
        <w:tc>
          <w:tcPr>
            <w:tcW w:w="1567" w:type="dxa"/>
            <w:tcBorders>
              <w:top w:val="single" w:sz="6" w:space="0" w:color="auto"/>
              <w:left w:val="single" w:sz="6" w:space="0" w:color="auto"/>
              <w:bottom w:val="single" w:sz="6" w:space="0" w:color="auto"/>
              <w:right w:val="single" w:sz="6" w:space="0" w:color="auto"/>
            </w:tcBorders>
            <w:vAlign w:val="center"/>
            <w:hideMark/>
          </w:tcPr>
          <w:p w14:paraId="75476AF4" w14:textId="77777777" w:rsidR="00A974F5" w:rsidRPr="00A974F5" w:rsidRDefault="00A974F5" w:rsidP="00A974F5">
            <w:pPr>
              <w:spacing w:after="120" w:line="240" w:lineRule="auto"/>
              <w:ind w:left="110"/>
              <w:rPr>
                <w:sz w:val="22"/>
                <w:szCs w:val="22"/>
              </w:rPr>
            </w:pPr>
            <w:r w:rsidRPr="00A974F5">
              <w:rPr>
                <w:b/>
                <w:bCs/>
                <w:sz w:val="22"/>
                <w:szCs w:val="22"/>
              </w:rPr>
              <w:t>Settlement</w:t>
            </w:r>
          </w:p>
        </w:tc>
        <w:tc>
          <w:tcPr>
            <w:tcW w:w="2400" w:type="dxa"/>
            <w:tcBorders>
              <w:top w:val="single" w:sz="6" w:space="0" w:color="auto"/>
              <w:left w:val="single" w:sz="6" w:space="0" w:color="auto"/>
              <w:bottom w:val="single" w:sz="6" w:space="0" w:color="auto"/>
              <w:right w:val="single" w:sz="6" w:space="0" w:color="auto"/>
            </w:tcBorders>
            <w:vAlign w:val="center"/>
            <w:hideMark/>
          </w:tcPr>
          <w:p w14:paraId="4FDF055B" w14:textId="77777777" w:rsidR="00A974F5" w:rsidRPr="00A974F5" w:rsidRDefault="00A974F5" w:rsidP="00A974F5">
            <w:pPr>
              <w:spacing w:after="120" w:line="240" w:lineRule="auto"/>
              <w:ind w:left="110"/>
              <w:rPr>
                <w:sz w:val="22"/>
                <w:szCs w:val="22"/>
              </w:rPr>
            </w:pPr>
            <w:r w:rsidRPr="00A974F5">
              <w:rPr>
                <w:sz w:val="22"/>
                <w:szCs w:val="22"/>
              </w:rPr>
              <w:t>Atomic Swap on LinuxONE</w:t>
            </w:r>
          </w:p>
        </w:tc>
        <w:tc>
          <w:tcPr>
            <w:tcW w:w="5008" w:type="dxa"/>
            <w:tcBorders>
              <w:top w:val="single" w:sz="6" w:space="0" w:color="auto"/>
              <w:left w:val="single" w:sz="6" w:space="0" w:color="auto"/>
              <w:bottom w:val="single" w:sz="6" w:space="0" w:color="auto"/>
              <w:right w:val="single" w:sz="6" w:space="0" w:color="auto"/>
            </w:tcBorders>
            <w:vAlign w:val="center"/>
            <w:hideMark/>
          </w:tcPr>
          <w:p w14:paraId="39DD517F" w14:textId="77777777" w:rsidR="00A974F5" w:rsidRPr="00A974F5" w:rsidRDefault="00A974F5" w:rsidP="00A974F5">
            <w:pPr>
              <w:spacing w:after="120" w:line="240" w:lineRule="auto"/>
              <w:ind w:left="110"/>
              <w:rPr>
                <w:sz w:val="22"/>
                <w:szCs w:val="22"/>
              </w:rPr>
            </w:pPr>
            <w:r w:rsidRPr="00A974F5">
              <w:rPr>
                <w:b/>
                <w:bCs/>
                <w:sz w:val="22"/>
                <w:szCs w:val="22"/>
              </w:rPr>
              <w:t>Guaranteed Indemnity</w:t>
            </w:r>
            <w:r w:rsidRPr="00A974F5">
              <w:rPr>
                <w:sz w:val="22"/>
                <w:szCs w:val="22"/>
              </w:rPr>
              <w:t xml:space="preserve"> for failure-to-settle.</w:t>
            </w:r>
          </w:p>
        </w:tc>
      </w:tr>
      <w:tr w:rsidR="00A974F5" w:rsidRPr="00A974F5" w14:paraId="4E3BD047" w14:textId="77777777" w:rsidTr="00A974F5">
        <w:trPr>
          <w:tblCellSpacing w:w="15" w:type="dxa"/>
        </w:trPr>
        <w:tc>
          <w:tcPr>
            <w:tcW w:w="1567" w:type="dxa"/>
            <w:tcBorders>
              <w:top w:val="single" w:sz="6" w:space="0" w:color="auto"/>
              <w:left w:val="single" w:sz="6" w:space="0" w:color="auto"/>
              <w:bottom w:val="single" w:sz="6" w:space="0" w:color="auto"/>
              <w:right w:val="single" w:sz="6" w:space="0" w:color="auto"/>
            </w:tcBorders>
            <w:vAlign w:val="center"/>
            <w:hideMark/>
          </w:tcPr>
          <w:p w14:paraId="70E75F35" w14:textId="77777777" w:rsidR="00A974F5" w:rsidRPr="00A974F5" w:rsidRDefault="00A974F5" w:rsidP="00A974F5">
            <w:pPr>
              <w:spacing w:after="120" w:line="240" w:lineRule="auto"/>
              <w:ind w:left="110"/>
              <w:rPr>
                <w:sz w:val="22"/>
                <w:szCs w:val="22"/>
              </w:rPr>
            </w:pPr>
            <w:r w:rsidRPr="00A974F5">
              <w:rPr>
                <w:b/>
                <w:bCs/>
                <w:sz w:val="22"/>
                <w:szCs w:val="22"/>
              </w:rPr>
              <w:t>Private Keys</w:t>
            </w:r>
          </w:p>
        </w:tc>
        <w:tc>
          <w:tcPr>
            <w:tcW w:w="2400" w:type="dxa"/>
            <w:tcBorders>
              <w:top w:val="single" w:sz="6" w:space="0" w:color="auto"/>
              <w:left w:val="single" w:sz="6" w:space="0" w:color="auto"/>
              <w:bottom w:val="single" w:sz="6" w:space="0" w:color="auto"/>
              <w:right w:val="single" w:sz="6" w:space="0" w:color="auto"/>
            </w:tcBorders>
            <w:vAlign w:val="center"/>
            <w:hideMark/>
          </w:tcPr>
          <w:p w14:paraId="773C7AE6" w14:textId="77777777" w:rsidR="00A974F5" w:rsidRPr="00A974F5" w:rsidRDefault="00A974F5" w:rsidP="00A974F5">
            <w:pPr>
              <w:spacing w:after="120" w:line="240" w:lineRule="auto"/>
              <w:ind w:left="110"/>
              <w:rPr>
                <w:sz w:val="22"/>
                <w:szCs w:val="22"/>
              </w:rPr>
            </w:pPr>
            <w:r w:rsidRPr="00A974F5">
              <w:rPr>
                <w:sz w:val="22"/>
                <w:szCs w:val="22"/>
              </w:rPr>
              <w:t>2-of-3 MPC Sharding</w:t>
            </w:r>
          </w:p>
        </w:tc>
        <w:tc>
          <w:tcPr>
            <w:tcW w:w="5008" w:type="dxa"/>
            <w:tcBorders>
              <w:top w:val="single" w:sz="6" w:space="0" w:color="auto"/>
              <w:left w:val="single" w:sz="6" w:space="0" w:color="auto"/>
              <w:bottom w:val="single" w:sz="6" w:space="0" w:color="auto"/>
              <w:right w:val="single" w:sz="6" w:space="0" w:color="auto"/>
            </w:tcBorders>
            <w:vAlign w:val="center"/>
            <w:hideMark/>
          </w:tcPr>
          <w:p w14:paraId="6643B320" w14:textId="77777777" w:rsidR="00A974F5" w:rsidRPr="00A974F5" w:rsidRDefault="00A974F5" w:rsidP="00A974F5">
            <w:pPr>
              <w:spacing w:after="120" w:line="240" w:lineRule="auto"/>
              <w:ind w:left="110"/>
              <w:rPr>
                <w:sz w:val="22"/>
                <w:szCs w:val="22"/>
              </w:rPr>
            </w:pPr>
            <w:r w:rsidRPr="00A974F5">
              <w:rPr>
                <w:b/>
                <w:bCs/>
                <w:sz w:val="22"/>
                <w:szCs w:val="22"/>
              </w:rPr>
              <w:t>Key Restoration Bond</w:t>
            </w:r>
            <w:r w:rsidRPr="00A974F5">
              <w:rPr>
                <w:sz w:val="22"/>
                <w:szCs w:val="22"/>
              </w:rPr>
              <w:t xml:space="preserve"> and shard insurance.</w:t>
            </w:r>
          </w:p>
        </w:tc>
      </w:tr>
      <w:tr w:rsidR="00A974F5" w:rsidRPr="00A974F5" w14:paraId="54221F3B" w14:textId="77777777" w:rsidTr="00A974F5">
        <w:trPr>
          <w:tblCellSpacing w:w="15" w:type="dxa"/>
        </w:trPr>
        <w:tc>
          <w:tcPr>
            <w:tcW w:w="1567" w:type="dxa"/>
            <w:tcBorders>
              <w:top w:val="single" w:sz="6" w:space="0" w:color="auto"/>
              <w:left w:val="single" w:sz="6" w:space="0" w:color="auto"/>
              <w:bottom w:val="single" w:sz="6" w:space="0" w:color="auto"/>
              <w:right w:val="single" w:sz="6" w:space="0" w:color="auto"/>
            </w:tcBorders>
            <w:vAlign w:val="center"/>
            <w:hideMark/>
          </w:tcPr>
          <w:p w14:paraId="67B22515" w14:textId="77777777" w:rsidR="00A974F5" w:rsidRPr="00A974F5" w:rsidRDefault="00A974F5" w:rsidP="00A974F5">
            <w:pPr>
              <w:spacing w:after="120" w:line="240" w:lineRule="auto"/>
              <w:ind w:left="110"/>
              <w:rPr>
                <w:sz w:val="22"/>
                <w:szCs w:val="22"/>
              </w:rPr>
            </w:pPr>
            <w:r w:rsidRPr="00A974F5">
              <w:rPr>
                <w:b/>
                <w:bCs/>
                <w:sz w:val="22"/>
                <w:szCs w:val="22"/>
              </w:rPr>
              <w:t>Sovereignty</w:t>
            </w:r>
          </w:p>
        </w:tc>
        <w:tc>
          <w:tcPr>
            <w:tcW w:w="2400" w:type="dxa"/>
            <w:tcBorders>
              <w:top w:val="single" w:sz="6" w:space="0" w:color="auto"/>
              <w:left w:val="single" w:sz="6" w:space="0" w:color="auto"/>
              <w:bottom w:val="single" w:sz="6" w:space="0" w:color="auto"/>
              <w:right w:val="single" w:sz="6" w:space="0" w:color="auto"/>
            </w:tcBorders>
            <w:vAlign w:val="center"/>
            <w:hideMark/>
          </w:tcPr>
          <w:p w14:paraId="3845890C" w14:textId="77777777" w:rsidR="00A974F5" w:rsidRPr="00A974F5" w:rsidRDefault="00A974F5" w:rsidP="00A974F5">
            <w:pPr>
              <w:spacing w:after="120" w:line="240" w:lineRule="auto"/>
              <w:ind w:left="110"/>
              <w:rPr>
                <w:sz w:val="22"/>
                <w:szCs w:val="22"/>
              </w:rPr>
            </w:pPr>
            <w:r w:rsidRPr="00A974F5">
              <w:rPr>
                <w:sz w:val="22"/>
                <w:szCs w:val="22"/>
              </w:rPr>
              <w:t>Swiss/Bermuda/US Nodes</w:t>
            </w:r>
          </w:p>
        </w:tc>
        <w:tc>
          <w:tcPr>
            <w:tcW w:w="5008" w:type="dxa"/>
            <w:tcBorders>
              <w:top w:val="single" w:sz="6" w:space="0" w:color="auto"/>
              <w:left w:val="single" w:sz="6" w:space="0" w:color="auto"/>
              <w:bottom w:val="single" w:sz="6" w:space="0" w:color="auto"/>
              <w:right w:val="single" w:sz="6" w:space="0" w:color="auto"/>
            </w:tcBorders>
            <w:vAlign w:val="center"/>
            <w:hideMark/>
          </w:tcPr>
          <w:p w14:paraId="5EA752D8" w14:textId="77777777" w:rsidR="00A974F5" w:rsidRPr="00A974F5" w:rsidRDefault="00A974F5" w:rsidP="00A974F5">
            <w:pPr>
              <w:spacing w:after="120" w:line="240" w:lineRule="auto"/>
              <w:ind w:left="110"/>
              <w:rPr>
                <w:sz w:val="22"/>
                <w:szCs w:val="22"/>
              </w:rPr>
            </w:pPr>
            <w:r w:rsidRPr="00A974F5">
              <w:rPr>
                <w:b/>
                <w:bCs/>
                <w:sz w:val="22"/>
                <w:szCs w:val="22"/>
              </w:rPr>
              <w:t>Jurisdictional Firewall</w:t>
            </w:r>
            <w:r w:rsidRPr="00A974F5">
              <w:rPr>
                <w:sz w:val="22"/>
                <w:szCs w:val="22"/>
              </w:rPr>
              <w:t xml:space="preserve"> for insurance payouts.</w:t>
            </w:r>
          </w:p>
        </w:tc>
      </w:tr>
      <w:tr w:rsidR="00A974F5" w:rsidRPr="00A974F5" w14:paraId="56EAB6A0" w14:textId="77777777" w:rsidTr="00A974F5">
        <w:trPr>
          <w:tblCellSpacing w:w="15" w:type="dxa"/>
        </w:trPr>
        <w:tc>
          <w:tcPr>
            <w:tcW w:w="1567" w:type="dxa"/>
            <w:tcBorders>
              <w:top w:val="single" w:sz="6" w:space="0" w:color="auto"/>
              <w:left w:val="single" w:sz="6" w:space="0" w:color="auto"/>
              <w:bottom w:val="single" w:sz="6" w:space="0" w:color="auto"/>
              <w:right w:val="single" w:sz="6" w:space="0" w:color="auto"/>
            </w:tcBorders>
            <w:vAlign w:val="center"/>
            <w:hideMark/>
          </w:tcPr>
          <w:p w14:paraId="3C14F074" w14:textId="77777777" w:rsidR="00A974F5" w:rsidRPr="00A974F5" w:rsidRDefault="00A974F5" w:rsidP="00A974F5">
            <w:pPr>
              <w:spacing w:after="120" w:line="240" w:lineRule="auto"/>
              <w:ind w:left="110"/>
              <w:rPr>
                <w:sz w:val="22"/>
                <w:szCs w:val="22"/>
              </w:rPr>
            </w:pPr>
            <w:r w:rsidRPr="00A974F5">
              <w:rPr>
                <w:b/>
                <w:bCs/>
                <w:sz w:val="22"/>
                <w:szCs w:val="22"/>
              </w:rPr>
              <w:t>Infrastructure</w:t>
            </w:r>
          </w:p>
        </w:tc>
        <w:tc>
          <w:tcPr>
            <w:tcW w:w="2400" w:type="dxa"/>
            <w:tcBorders>
              <w:top w:val="single" w:sz="6" w:space="0" w:color="auto"/>
              <w:left w:val="single" w:sz="6" w:space="0" w:color="auto"/>
              <w:bottom w:val="single" w:sz="6" w:space="0" w:color="auto"/>
              <w:right w:val="single" w:sz="6" w:space="0" w:color="auto"/>
            </w:tcBorders>
            <w:vAlign w:val="center"/>
            <w:hideMark/>
          </w:tcPr>
          <w:p w14:paraId="0A5959B3" w14:textId="77777777" w:rsidR="00A974F5" w:rsidRPr="00A974F5" w:rsidRDefault="00A974F5" w:rsidP="00A974F5">
            <w:pPr>
              <w:spacing w:after="120" w:line="240" w:lineRule="auto"/>
              <w:ind w:left="110"/>
              <w:rPr>
                <w:sz w:val="22"/>
                <w:szCs w:val="22"/>
              </w:rPr>
            </w:pPr>
            <w:r w:rsidRPr="00A974F5">
              <w:rPr>
                <w:sz w:val="22"/>
                <w:szCs w:val="22"/>
              </w:rPr>
              <w:t>EAL5+ Mainframe</w:t>
            </w:r>
          </w:p>
        </w:tc>
        <w:tc>
          <w:tcPr>
            <w:tcW w:w="5008" w:type="dxa"/>
            <w:tcBorders>
              <w:top w:val="single" w:sz="6" w:space="0" w:color="auto"/>
              <w:left w:val="single" w:sz="6" w:space="0" w:color="auto"/>
              <w:bottom w:val="single" w:sz="6" w:space="0" w:color="auto"/>
              <w:right w:val="single" w:sz="6" w:space="0" w:color="auto"/>
            </w:tcBorders>
            <w:vAlign w:val="center"/>
            <w:hideMark/>
          </w:tcPr>
          <w:p w14:paraId="20D2ED6A" w14:textId="77777777" w:rsidR="00A974F5" w:rsidRPr="00A974F5" w:rsidRDefault="00A974F5" w:rsidP="00A974F5">
            <w:pPr>
              <w:spacing w:after="120" w:line="240" w:lineRule="auto"/>
              <w:ind w:left="110"/>
              <w:rPr>
                <w:sz w:val="22"/>
                <w:szCs w:val="22"/>
              </w:rPr>
            </w:pPr>
            <w:r w:rsidRPr="00A974F5">
              <w:rPr>
                <w:b/>
                <w:bCs/>
                <w:sz w:val="22"/>
                <w:szCs w:val="22"/>
              </w:rPr>
              <w:t>Lowers Premiums</w:t>
            </w:r>
            <w:r w:rsidRPr="00A974F5">
              <w:rPr>
                <w:sz w:val="22"/>
                <w:szCs w:val="22"/>
              </w:rPr>
              <w:t xml:space="preserve"> due to hardware-level security.</w:t>
            </w:r>
          </w:p>
        </w:tc>
      </w:tr>
    </w:tbl>
    <w:p w14:paraId="056CFE08" w14:textId="77777777" w:rsidR="00A974F5" w:rsidRPr="00A974F5" w:rsidRDefault="00A974F5" w:rsidP="00A974F5">
      <w:pPr>
        <w:spacing w:before="120" w:after="120" w:line="240" w:lineRule="auto"/>
        <w:rPr>
          <w:sz w:val="22"/>
          <w:szCs w:val="22"/>
        </w:rPr>
      </w:pPr>
      <w:r w:rsidRPr="00A974F5">
        <w:rPr>
          <w:sz w:val="22"/>
          <w:szCs w:val="22"/>
        </w:rPr>
        <w:t xml:space="preserve">By integrating the Captive into the </w:t>
      </w:r>
      <w:r w:rsidRPr="00A974F5">
        <w:rPr>
          <w:b/>
          <w:bCs/>
          <w:sz w:val="22"/>
          <w:szCs w:val="22"/>
        </w:rPr>
        <w:t>Sovereign Fortress</w:t>
      </w:r>
      <w:r w:rsidRPr="00A974F5">
        <w:rPr>
          <w:sz w:val="22"/>
          <w:szCs w:val="22"/>
        </w:rPr>
        <w:t xml:space="preserve">, GSCX moves from providing "Secure Technology" to providing </w:t>
      </w:r>
      <w:r w:rsidRPr="00A974F5">
        <w:rPr>
          <w:b/>
          <w:bCs/>
          <w:sz w:val="22"/>
          <w:szCs w:val="22"/>
        </w:rPr>
        <w:t>"Sovereign-Grade Financial Certainty."</w:t>
      </w:r>
    </w:p>
    <w:p w14:paraId="02717F12" w14:textId="51184B02" w:rsidR="00E94C62" w:rsidRPr="00E94C62" w:rsidRDefault="00E94C62" w:rsidP="00F0030B">
      <w:pPr>
        <w:spacing w:after="120" w:line="240" w:lineRule="auto"/>
        <w:rPr>
          <w:b/>
          <w:bCs/>
          <w:sz w:val="28"/>
          <w:szCs w:val="28"/>
        </w:rPr>
      </w:pPr>
      <w:r w:rsidRPr="00E94C62">
        <w:rPr>
          <w:b/>
          <w:bCs/>
          <w:sz w:val="28"/>
          <w:szCs w:val="28"/>
        </w:rPr>
        <w:t>APPENDIX</w:t>
      </w:r>
    </w:p>
    <w:p w14:paraId="74246CB5" w14:textId="77777777" w:rsidR="00E94C62" w:rsidRPr="003F48B3" w:rsidRDefault="00E94C62" w:rsidP="00E94C62">
      <w:pPr>
        <w:spacing w:after="120" w:line="240" w:lineRule="auto"/>
        <w:rPr>
          <w:rFonts w:eastAsia="Times New Roman" w:cs="Arial"/>
          <w:b/>
          <w:bCs/>
          <w:kern w:val="0"/>
          <w14:ligatures w14:val="none"/>
        </w:rPr>
      </w:pPr>
      <w:r w:rsidRPr="003F48B3">
        <w:rPr>
          <w:rFonts w:eastAsia="Times New Roman" w:cs="Arial"/>
          <w:b/>
          <w:bCs/>
          <w:kern w:val="0"/>
          <w14:ligatures w14:val="none"/>
        </w:rPr>
        <w:t>Hardware Security Module (HSM) in Secure Execution</w:t>
      </w:r>
    </w:p>
    <w:p w14:paraId="346B6241" w14:textId="77777777" w:rsidR="00E94C62" w:rsidRPr="003F48B3" w:rsidRDefault="00E94C62" w:rsidP="00E94C62">
      <w:pPr>
        <w:spacing w:after="120" w:line="240" w:lineRule="auto"/>
        <w:ind w:left="360"/>
        <w:rPr>
          <w:rFonts w:eastAsia="Times New Roman" w:cs="Arial"/>
          <w:kern w:val="0"/>
          <w:sz w:val="22"/>
          <w:szCs w:val="22"/>
          <w14:ligatures w14:val="none"/>
        </w:rPr>
      </w:pPr>
      <w:r w:rsidRPr="003F48B3">
        <w:rPr>
          <w:rFonts w:eastAsia="Times New Roman" w:cs="Arial"/>
          <w:kern w:val="0"/>
          <w:sz w:val="22"/>
          <w:szCs w:val="22"/>
          <w14:ligatures w14:val="none"/>
        </w:rPr>
        <w:t xml:space="preserve">In the context of a </w:t>
      </w:r>
      <w:r w:rsidRPr="003F48B3">
        <w:rPr>
          <w:rFonts w:eastAsia="Times New Roman" w:cs="Arial"/>
          <w:b/>
          <w:bCs/>
          <w:kern w:val="0"/>
          <w:sz w:val="22"/>
          <w:szCs w:val="22"/>
          <w14:ligatures w14:val="none"/>
        </w:rPr>
        <w:t>Secure Execution Environment (SEE)</w:t>
      </w:r>
      <w:r w:rsidRPr="003F48B3">
        <w:rPr>
          <w:rFonts w:eastAsia="Times New Roman" w:cs="Arial"/>
          <w:kern w:val="0"/>
          <w:sz w:val="22"/>
          <w:szCs w:val="22"/>
          <w14:ligatures w14:val="none"/>
        </w:rPr>
        <w:t xml:space="preserve"> or </w:t>
      </w:r>
      <w:r w:rsidRPr="003F48B3">
        <w:rPr>
          <w:rFonts w:eastAsia="Times New Roman" w:cs="Arial"/>
          <w:b/>
          <w:bCs/>
          <w:kern w:val="0"/>
          <w:sz w:val="22"/>
          <w:szCs w:val="22"/>
          <w14:ligatures w14:val="none"/>
        </w:rPr>
        <w:t>Trusted Execution Environment (TEE)</w:t>
      </w:r>
      <w:r w:rsidRPr="003F48B3">
        <w:rPr>
          <w:rFonts w:eastAsia="Times New Roman" w:cs="Arial"/>
          <w:kern w:val="0"/>
          <w:sz w:val="22"/>
          <w:szCs w:val="22"/>
          <w14:ligatures w14:val="none"/>
        </w:rPr>
        <w:t xml:space="preserve">, a </w:t>
      </w:r>
      <w:r w:rsidRPr="003F48B3">
        <w:rPr>
          <w:rFonts w:eastAsia="Times New Roman" w:cs="Arial"/>
          <w:b/>
          <w:bCs/>
          <w:kern w:val="0"/>
          <w:sz w:val="22"/>
          <w:szCs w:val="22"/>
          <w14:ligatures w14:val="none"/>
        </w:rPr>
        <w:t>Hardware Security Module (HSM)</w:t>
      </w:r>
      <w:r w:rsidRPr="003F48B3">
        <w:rPr>
          <w:rFonts w:eastAsia="Times New Roman" w:cs="Arial"/>
          <w:kern w:val="0"/>
          <w:sz w:val="22"/>
          <w:szCs w:val="22"/>
          <w14:ligatures w14:val="none"/>
        </w:rPr>
        <w:t xml:space="preserve"> is a physical computing device that safeguards and manages digital keys, performs encryption and decryption functions, and provides strong authentication.</w:t>
      </w:r>
    </w:p>
    <w:p w14:paraId="16A523D1" w14:textId="77777777" w:rsidR="00E94C62" w:rsidRPr="003F48B3" w:rsidRDefault="00E94C62" w:rsidP="00E94C62">
      <w:pPr>
        <w:spacing w:after="120" w:line="240" w:lineRule="auto"/>
        <w:ind w:left="360"/>
        <w:rPr>
          <w:rFonts w:eastAsia="Times New Roman" w:cs="Arial"/>
          <w:kern w:val="0"/>
          <w:sz w:val="22"/>
          <w:szCs w:val="22"/>
          <w14:ligatures w14:val="none"/>
        </w:rPr>
      </w:pPr>
      <w:r w:rsidRPr="003F48B3">
        <w:rPr>
          <w:rFonts w:eastAsia="Times New Roman" w:cs="Arial"/>
          <w:kern w:val="0"/>
          <w:sz w:val="22"/>
          <w:szCs w:val="22"/>
          <w14:ligatures w14:val="none"/>
        </w:rPr>
        <w:t>It serves as the "root of trust," ensuring that sensitive cryptographic operations happen within a tamper-resistant hardware boundary rather than in the general-purpose operating system.</w:t>
      </w:r>
    </w:p>
    <w:p w14:paraId="585BD859" w14:textId="77777777" w:rsidR="00E94C62" w:rsidRPr="003F48B3" w:rsidRDefault="00E94C62" w:rsidP="00E94C62">
      <w:pPr>
        <w:spacing w:after="120" w:line="240" w:lineRule="auto"/>
        <w:outlineLvl w:val="2"/>
        <w:rPr>
          <w:rFonts w:eastAsia="Times New Roman" w:cs="Arial"/>
          <w:b/>
          <w:bCs/>
          <w:kern w:val="0"/>
          <w:sz w:val="22"/>
          <w:szCs w:val="22"/>
          <w14:ligatures w14:val="none"/>
        </w:rPr>
      </w:pPr>
      <w:r w:rsidRPr="003F48B3">
        <w:rPr>
          <w:rFonts w:eastAsia="Times New Roman" w:cs="Arial"/>
          <w:b/>
          <w:bCs/>
          <w:kern w:val="0"/>
          <w:sz w:val="22"/>
          <w:szCs w:val="22"/>
          <w14:ligatures w14:val="none"/>
        </w:rPr>
        <w:t>Core Functions of an HSM</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54"/>
        <w:gridCol w:w="7090"/>
      </w:tblGrid>
      <w:tr w:rsidR="00E94C62" w:rsidRPr="003F48B3" w14:paraId="263E3D3F" w14:textId="77777777" w:rsidTr="006E16C9">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687BCDA" w14:textId="77777777" w:rsidR="00E94C62" w:rsidRPr="003F48B3" w:rsidRDefault="00E94C62" w:rsidP="006E16C9">
            <w:pPr>
              <w:spacing w:after="120" w:line="240" w:lineRule="auto"/>
              <w:ind w:left="110"/>
              <w:rPr>
                <w:rFonts w:eastAsia="Times New Roman" w:cs="Arial"/>
                <w:kern w:val="0"/>
                <w:sz w:val="22"/>
                <w:szCs w:val="22"/>
                <w14:ligatures w14:val="none"/>
              </w:rPr>
            </w:pPr>
            <w:r w:rsidRPr="003F48B3">
              <w:rPr>
                <w:rFonts w:eastAsia="Times New Roman" w:cs="Arial"/>
                <w:b/>
                <w:bCs/>
                <w:kern w:val="0"/>
                <w:sz w:val="22"/>
                <w:szCs w:val="22"/>
                <w14:ligatures w14:val="none"/>
              </w:rPr>
              <w:t>Function</w:t>
            </w:r>
          </w:p>
        </w:tc>
        <w:tc>
          <w:tcPr>
            <w:tcW w:w="0" w:type="auto"/>
            <w:tcBorders>
              <w:top w:val="single" w:sz="6" w:space="0" w:color="auto"/>
              <w:left w:val="single" w:sz="6" w:space="0" w:color="auto"/>
              <w:bottom w:val="single" w:sz="6" w:space="0" w:color="auto"/>
              <w:right w:val="single" w:sz="6" w:space="0" w:color="auto"/>
            </w:tcBorders>
            <w:vAlign w:val="center"/>
            <w:hideMark/>
          </w:tcPr>
          <w:p w14:paraId="3064CDF7" w14:textId="77777777" w:rsidR="00E94C62" w:rsidRPr="003F48B3" w:rsidRDefault="00E94C62" w:rsidP="006E16C9">
            <w:pPr>
              <w:spacing w:after="120" w:line="240" w:lineRule="auto"/>
              <w:ind w:left="110"/>
              <w:rPr>
                <w:rFonts w:eastAsia="Times New Roman" w:cs="Arial"/>
                <w:kern w:val="0"/>
                <w:sz w:val="22"/>
                <w:szCs w:val="22"/>
                <w14:ligatures w14:val="none"/>
              </w:rPr>
            </w:pPr>
            <w:r w:rsidRPr="003F48B3">
              <w:rPr>
                <w:rFonts w:eastAsia="Times New Roman" w:cs="Arial"/>
                <w:b/>
                <w:bCs/>
                <w:kern w:val="0"/>
                <w:sz w:val="22"/>
                <w:szCs w:val="22"/>
                <w14:ligatures w14:val="none"/>
              </w:rPr>
              <w:t>Description</w:t>
            </w:r>
          </w:p>
        </w:tc>
      </w:tr>
      <w:tr w:rsidR="00E94C62" w:rsidRPr="003F48B3" w14:paraId="209B17EB" w14:textId="77777777" w:rsidTr="006E16C9">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CC05C6C" w14:textId="77777777" w:rsidR="00E94C62" w:rsidRPr="003F48B3" w:rsidRDefault="00E94C62" w:rsidP="006E16C9">
            <w:pPr>
              <w:spacing w:after="120" w:line="240" w:lineRule="auto"/>
              <w:ind w:left="110"/>
              <w:rPr>
                <w:rFonts w:eastAsia="Times New Roman" w:cs="Arial"/>
                <w:kern w:val="0"/>
                <w:sz w:val="22"/>
                <w:szCs w:val="22"/>
                <w14:ligatures w14:val="none"/>
              </w:rPr>
            </w:pPr>
            <w:r w:rsidRPr="003F48B3">
              <w:rPr>
                <w:rFonts w:eastAsia="Times New Roman" w:cs="Arial"/>
                <w:b/>
                <w:bCs/>
                <w:kern w:val="0"/>
                <w:sz w:val="22"/>
                <w:szCs w:val="22"/>
                <w14:ligatures w14:val="none"/>
              </w:rPr>
              <w:t>Key Generation</w:t>
            </w:r>
          </w:p>
        </w:tc>
        <w:tc>
          <w:tcPr>
            <w:tcW w:w="0" w:type="auto"/>
            <w:tcBorders>
              <w:top w:val="single" w:sz="6" w:space="0" w:color="auto"/>
              <w:left w:val="single" w:sz="6" w:space="0" w:color="auto"/>
              <w:bottom w:val="single" w:sz="6" w:space="0" w:color="auto"/>
              <w:right w:val="single" w:sz="6" w:space="0" w:color="auto"/>
            </w:tcBorders>
            <w:vAlign w:val="center"/>
            <w:hideMark/>
          </w:tcPr>
          <w:p w14:paraId="3AA68077" w14:textId="77777777" w:rsidR="00E94C62" w:rsidRPr="003F48B3" w:rsidRDefault="00E94C62" w:rsidP="006E16C9">
            <w:pPr>
              <w:spacing w:after="120" w:line="240" w:lineRule="auto"/>
              <w:ind w:left="110"/>
              <w:rPr>
                <w:rFonts w:eastAsia="Times New Roman" w:cs="Arial"/>
                <w:kern w:val="0"/>
                <w:sz w:val="22"/>
                <w:szCs w:val="22"/>
                <w14:ligatures w14:val="none"/>
              </w:rPr>
            </w:pPr>
            <w:r w:rsidRPr="003F48B3">
              <w:rPr>
                <w:rFonts w:eastAsia="Times New Roman" w:cs="Arial"/>
                <w:kern w:val="0"/>
                <w:sz w:val="22"/>
                <w:szCs w:val="22"/>
                <w14:ligatures w14:val="none"/>
              </w:rPr>
              <w:t>Securely creates high-entropy cryptographic keys using hardware-based random number generators.</w:t>
            </w:r>
          </w:p>
        </w:tc>
      </w:tr>
      <w:tr w:rsidR="00E94C62" w:rsidRPr="003F48B3" w14:paraId="5EB4684C" w14:textId="77777777" w:rsidTr="006E16C9">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8F15F2B" w14:textId="77777777" w:rsidR="00E94C62" w:rsidRPr="003F48B3" w:rsidRDefault="00E94C62" w:rsidP="006E16C9">
            <w:pPr>
              <w:spacing w:after="120" w:line="240" w:lineRule="auto"/>
              <w:ind w:left="110"/>
              <w:rPr>
                <w:rFonts w:eastAsia="Times New Roman" w:cs="Arial"/>
                <w:kern w:val="0"/>
                <w:sz w:val="22"/>
                <w:szCs w:val="22"/>
                <w14:ligatures w14:val="none"/>
              </w:rPr>
            </w:pPr>
            <w:r w:rsidRPr="003F48B3">
              <w:rPr>
                <w:rFonts w:eastAsia="Times New Roman" w:cs="Arial"/>
                <w:b/>
                <w:bCs/>
                <w:kern w:val="0"/>
                <w:sz w:val="22"/>
                <w:szCs w:val="22"/>
                <w14:ligatures w14:val="none"/>
              </w:rPr>
              <w:t>Key Storage</w:t>
            </w:r>
          </w:p>
        </w:tc>
        <w:tc>
          <w:tcPr>
            <w:tcW w:w="0" w:type="auto"/>
            <w:tcBorders>
              <w:top w:val="single" w:sz="6" w:space="0" w:color="auto"/>
              <w:left w:val="single" w:sz="6" w:space="0" w:color="auto"/>
              <w:bottom w:val="single" w:sz="6" w:space="0" w:color="auto"/>
              <w:right w:val="single" w:sz="6" w:space="0" w:color="auto"/>
            </w:tcBorders>
            <w:vAlign w:val="center"/>
            <w:hideMark/>
          </w:tcPr>
          <w:p w14:paraId="5EDCFBCA" w14:textId="77777777" w:rsidR="00E94C62" w:rsidRPr="003F48B3" w:rsidRDefault="00E94C62" w:rsidP="006E16C9">
            <w:pPr>
              <w:spacing w:after="120" w:line="240" w:lineRule="auto"/>
              <w:ind w:left="110"/>
              <w:rPr>
                <w:rFonts w:eastAsia="Times New Roman" w:cs="Arial"/>
                <w:kern w:val="0"/>
                <w:sz w:val="22"/>
                <w:szCs w:val="22"/>
                <w14:ligatures w14:val="none"/>
              </w:rPr>
            </w:pPr>
            <w:r w:rsidRPr="003F48B3">
              <w:rPr>
                <w:rFonts w:eastAsia="Times New Roman" w:cs="Arial"/>
                <w:kern w:val="0"/>
                <w:sz w:val="22"/>
                <w:szCs w:val="22"/>
                <w14:ligatures w14:val="none"/>
              </w:rPr>
              <w:t>Keeps private keys inside the hardware; they are generally "non-exportable," meaning they never leave the device in plaintext.</w:t>
            </w:r>
          </w:p>
        </w:tc>
      </w:tr>
      <w:tr w:rsidR="00E94C62" w:rsidRPr="003F48B3" w14:paraId="2D875147" w14:textId="77777777" w:rsidTr="006E16C9">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A120560" w14:textId="77777777" w:rsidR="00E94C62" w:rsidRPr="003F48B3" w:rsidRDefault="00E94C62" w:rsidP="006E16C9">
            <w:pPr>
              <w:spacing w:after="120" w:line="240" w:lineRule="auto"/>
              <w:ind w:left="110"/>
              <w:rPr>
                <w:rFonts w:eastAsia="Times New Roman" w:cs="Arial"/>
                <w:kern w:val="0"/>
                <w:sz w:val="22"/>
                <w:szCs w:val="22"/>
                <w14:ligatures w14:val="none"/>
              </w:rPr>
            </w:pPr>
            <w:r w:rsidRPr="003F48B3">
              <w:rPr>
                <w:rFonts w:eastAsia="Times New Roman" w:cs="Arial"/>
                <w:b/>
                <w:bCs/>
                <w:kern w:val="0"/>
                <w:sz w:val="22"/>
                <w:szCs w:val="22"/>
                <w14:ligatures w14:val="none"/>
              </w:rPr>
              <w:t>Cryptographic Processing</w:t>
            </w:r>
          </w:p>
        </w:tc>
        <w:tc>
          <w:tcPr>
            <w:tcW w:w="0" w:type="auto"/>
            <w:tcBorders>
              <w:top w:val="single" w:sz="6" w:space="0" w:color="auto"/>
              <w:left w:val="single" w:sz="6" w:space="0" w:color="auto"/>
              <w:bottom w:val="single" w:sz="6" w:space="0" w:color="auto"/>
              <w:right w:val="single" w:sz="6" w:space="0" w:color="auto"/>
            </w:tcBorders>
            <w:vAlign w:val="center"/>
            <w:hideMark/>
          </w:tcPr>
          <w:p w14:paraId="3064FE94" w14:textId="77777777" w:rsidR="00E94C62" w:rsidRPr="003F48B3" w:rsidRDefault="00E94C62" w:rsidP="006E16C9">
            <w:pPr>
              <w:spacing w:after="120" w:line="240" w:lineRule="auto"/>
              <w:ind w:left="110"/>
              <w:rPr>
                <w:rFonts w:eastAsia="Times New Roman" w:cs="Arial"/>
                <w:kern w:val="0"/>
                <w:sz w:val="22"/>
                <w:szCs w:val="22"/>
                <w14:ligatures w14:val="none"/>
              </w:rPr>
            </w:pPr>
            <w:r w:rsidRPr="003F48B3">
              <w:rPr>
                <w:rFonts w:eastAsia="Times New Roman" w:cs="Arial"/>
                <w:kern w:val="0"/>
                <w:sz w:val="22"/>
                <w:szCs w:val="22"/>
                <w14:ligatures w14:val="none"/>
              </w:rPr>
              <w:t>Performs RSA, AES, and ECC operations onboard to offload processing from the host CPU.</w:t>
            </w:r>
          </w:p>
        </w:tc>
      </w:tr>
      <w:tr w:rsidR="00E94C62" w:rsidRPr="003F48B3" w14:paraId="4ACF3190" w14:textId="77777777" w:rsidTr="006E16C9">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B45DEA5" w14:textId="77777777" w:rsidR="00E94C62" w:rsidRPr="003F48B3" w:rsidRDefault="00E94C62" w:rsidP="006E16C9">
            <w:pPr>
              <w:spacing w:after="120" w:line="240" w:lineRule="auto"/>
              <w:ind w:left="110"/>
              <w:rPr>
                <w:rFonts w:eastAsia="Times New Roman" w:cs="Arial"/>
                <w:kern w:val="0"/>
                <w:sz w:val="22"/>
                <w:szCs w:val="22"/>
                <w14:ligatures w14:val="none"/>
              </w:rPr>
            </w:pPr>
            <w:r w:rsidRPr="003F48B3">
              <w:rPr>
                <w:rFonts w:eastAsia="Times New Roman" w:cs="Arial"/>
                <w:b/>
                <w:bCs/>
                <w:kern w:val="0"/>
                <w:sz w:val="22"/>
                <w:szCs w:val="22"/>
                <w14:ligatures w14:val="none"/>
              </w:rPr>
              <w:t>Tamper Response</w:t>
            </w:r>
          </w:p>
        </w:tc>
        <w:tc>
          <w:tcPr>
            <w:tcW w:w="0" w:type="auto"/>
            <w:tcBorders>
              <w:top w:val="single" w:sz="6" w:space="0" w:color="auto"/>
              <w:left w:val="single" w:sz="6" w:space="0" w:color="auto"/>
              <w:bottom w:val="single" w:sz="6" w:space="0" w:color="auto"/>
              <w:right w:val="single" w:sz="6" w:space="0" w:color="auto"/>
            </w:tcBorders>
            <w:vAlign w:val="center"/>
            <w:hideMark/>
          </w:tcPr>
          <w:p w14:paraId="027B2F38" w14:textId="77777777" w:rsidR="00E94C62" w:rsidRPr="003F48B3" w:rsidRDefault="00E94C62" w:rsidP="006E16C9">
            <w:pPr>
              <w:spacing w:after="120" w:line="240" w:lineRule="auto"/>
              <w:ind w:left="110"/>
              <w:rPr>
                <w:rFonts w:eastAsia="Times New Roman" w:cs="Arial"/>
                <w:kern w:val="0"/>
                <w:sz w:val="22"/>
                <w:szCs w:val="22"/>
                <w14:ligatures w14:val="none"/>
              </w:rPr>
            </w:pPr>
            <w:r w:rsidRPr="003F48B3">
              <w:rPr>
                <w:rFonts w:eastAsia="Times New Roman" w:cs="Arial"/>
                <w:kern w:val="0"/>
                <w:sz w:val="22"/>
                <w:szCs w:val="22"/>
                <w14:ligatures w14:val="none"/>
              </w:rPr>
              <w:t>Physically designed to detect intrusion (e.g., drilling, voltage changes) and can self-destruct or erase keys if compromised.</w:t>
            </w:r>
          </w:p>
        </w:tc>
      </w:tr>
    </w:tbl>
    <w:p w14:paraId="02F7B697" w14:textId="77777777" w:rsidR="00E94C62" w:rsidRDefault="00E94C62" w:rsidP="00F0030B">
      <w:pPr>
        <w:spacing w:after="120" w:line="240" w:lineRule="auto"/>
        <w:rPr>
          <w:sz w:val="22"/>
          <w:szCs w:val="22"/>
        </w:rPr>
      </w:pPr>
    </w:p>
    <w:p w14:paraId="7AD3D56E" w14:textId="77777777" w:rsidR="00E94C62" w:rsidRPr="00E94C62" w:rsidRDefault="00E94C62" w:rsidP="00E94C62">
      <w:pPr>
        <w:spacing w:after="120" w:line="240" w:lineRule="auto"/>
        <w:rPr>
          <w:b/>
          <w:bCs/>
          <w:sz w:val="22"/>
          <w:szCs w:val="22"/>
        </w:rPr>
      </w:pPr>
      <w:r w:rsidRPr="00E94C62">
        <w:rPr>
          <w:b/>
          <w:bCs/>
          <w:sz w:val="22"/>
          <w:szCs w:val="22"/>
        </w:rPr>
        <w:t>HSM vs. Trusted Execution Environment (TEE)</w:t>
      </w:r>
    </w:p>
    <w:p w14:paraId="2BAFDDFD" w14:textId="77777777" w:rsidR="00E94C62" w:rsidRPr="00E94C62" w:rsidRDefault="00E94C62" w:rsidP="00E94C62">
      <w:pPr>
        <w:spacing w:after="120" w:line="240" w:lineRule="auto"/>
        <w:rPr>
          <w:sz w:val="22"/>
          <w:szCs w:val="22"/>
        </w:rPr>
      </w:pPr>
      <w:r w:rsidRPr="00E94C62">
        <w:rPr>
          <w:sz w:val="22"/>
          <w:szCs w:val="22"/>
        </w:rPr>
        <w:lastRenderedPageBreak/>
        <w:t>While both are used for secure execution, they serve slightly different architectural purposes:</w:t>
      </w:r>
    </w:p>
    <w:p w14:paraId="14E404A9" w14:textId="77777777" w:rsidR="00E94C62" w:rsidRPr="00E94C62" w:rsidRDefault="00E94C62" w:rsidP="00E94C62">
      <w:pPr>
        <w:numPr>
          <w:ilvl w:val="0"/>
          <w:numId w:val="46"/>
        </w:numPr>
        <w:spacing w:after="120" w:line="240" w:lineRule="auto"/>
        <w:rPr>
          <w:sz w:val="22"/>
          <w:szCs w:val="22"/>
        </w:rPr>
      </w:pPr>
      <w:r w:rsidRPr="00E94C62">
        <w:rPr>
          <w:b/>
          <w:bCs/>
          <w:sz w:val="22"/>
          <w:szCs w:val="22"/>
        </w:rPr>
        <w:t>HSM:</w:t>
      </w:r>
      <w:r w:rsidRPr="00E94C62">
        <w:rPr>
          <w:sz w:val="22"/>
          <w:szCs w:val="22"/>
        </w:rPr>
        <w:t xml:space="preserve"> A dedicated, often external or plug-in piece of hardware focused almost exclusively on </w:t>
      </w:r>
      <w:r w:rsidRPr="00E94C62">
        <w:rPr>
          <w:b/>
          <w:bCs/>
          <w:sz w:val="22"/>
          <w:szCs w:val="22"/>
        </w:rPr>
        <w:t>key management</w:t>
      </w:r>
      <w:r w:rsidRPr="00E94C62">
        <w:rPr>
          <w:sz w:val="22"/>
          <w:szCs w:val="22"/>
        </w:rPr>
        <w:t xml:space="preserve"> and high-speed cryptography. It is the "vault."</w:t>
      </w:r>
    </w:p>
    <w:p w14:paraId="0A938165" w14:textId="77777777" w:rsidR="00E94C62" w:rsidRPr="00E94C62" w:rsidRDefault="00E94C62" w:rsidP="00E94C62">
      <w:pPr>
        <w:numPr>
          <w:ilvl w:val="0"/>
          <w:numId w:val="46"/>
        </w:numPr>
        <w:spacing w:after="120" w:line="240" w:lineRule="auto"/>
        <w:rPr>
          <w:sz w:val="22"/>
          <w:szCs w:val="22"/>
        </w:rPr>
      </w:pPr>
      <w:r w:rsidRPr="00E94C62">
        <w:rPr>
          <w:b/>
          <w:bCs/>
          <w:sz w:val="22"/>
          <w:szCs w:val="22"/>
        </w:rPr>
        <w:t>TEE:</w:t>
      </w:r>
      <w:r w:rsidRPr="00E94C62">
        <w:rPr>
          <w:sz w:val="22"/>
          <w:szCs w:val="22"/>
        </w:rPr>
        <w:t xml:space="preserve"> A secure area of a main processor (like ARM </w:t>
      </w:r>
      <w:proofErr w:type="spellStart"/>
      <w:r w:rsidRPr="00E94C62">
        <w:rPr>
          <w:sz w:val="22"/>
          <w:szCs w:val="22"/>
        </w:rPr>
        <w:t>TrustZone</w:t>
      </w:r>
      <w:proofErr w:type="spellEnd"/>
      <w:r w:rsidRPr="00E94C62">
        <w:rPr>
          <w:sz w:val="22"/>
          <w:szCs w:val="22"/>
        </w:rPr>
        <w:t xml:space="preserve"> or Intel SGX) that protects </w:t>
      </w:r>
      <w:r w:rsidRPr="00E94C62">
        <w:rPr>
          <w:b/>
          <w:bCs/>
          <w:sz w:val="22"/>
          <w:szCs w:val="22"/>
        </w:rPr>
        <w:t>code execution</w:t>
      </w:r>
      <w:r w:rsidRPr="00E94C62">
        <w:rPr>
          <w:sz w:val="22"/>
          <w:szCs w:val="22"/>
        </w:rPr>
        <w:t xml:space="preserve"> and data integrity. It is the "secure room" where the processing happens.</w:t>
      </w:r>
    </w:p>
    <w:p w14:paraId="57D7A36E" w14:textId="77777777" w:rsidR="00E94C62" w:rsidRPr="00E94C62" w:rsidRDefault="00E94C62" w:rsidP="00E94C62">
      <w:pPr>
        <w:spacing w:after="120" w:line="240" w:lineRule="auto"/>
        <w:rPr>
          <w:b/>
          <w:bCs/>
          <w:sz w:val="22"/>
          <w:szCs w:val="22"/>
        </w:rPr>
      </w:pPr>
      <w:r w:rsidRPr="00E94C62">
        <w:rPr>
          <w:b/>
          <w:bCs/>
          <w:sz w:val="22"/>
          <w:szCs w:val="22"/>
        </w:rPr>
        <w:t>Practical Applications</w:t>
      </w:r>
    </w:p>
    <w:p w14:paraId="06A5A575" w14:textId="77777777" w:rsidR="00E94C62" w:rsidRPr="00E94C62" w:rsidRDefault="00E94C62" w:rsidP="00E94C62">
      <w:pPr>
        <w:numPr>
          <w:ilvl w:val="0"/>
          <w:numId w:val="47"/>
        </w:numPr>
        <w:spacing w:after="120" w:line="240" w:lineRule="auto"/>
        <w:rPr>
          <w:sz w:val="22"/>
          <w:szCs w:val="22"/>
        </w:rPr>
      </w:pPr>
      <w:r w:rsidRPr="00E94C62">
        <w:rPr>
          <w:b/>
          <w:bCs/>
          <w:sz w:val="22"/>
          <w:szCs w:val="22"/>
        </w:rPr>
        <w:t>Public Key Infrastructure (PKI):</w:t>
      </w:r>
      <w:r w:rsidRPr="00E94C62">
        <w:rPr>
          <w:sz w:val="22"/>
          <w:szCs w:val="22"/>
        </w:rPr>
        <w:t xml:space="preserve"> Protecting the Root Certificate Authority (CA) keys.</w:t>
      </w:r>
    </w:p>
    <w:p w14:paraId="1BC91B99" w14:textId="77777777" w:rsidR="00E94C62" w:rsidRPr="00E94C62" w:rsidRDefault="00E94C62" w:rsidP="00E94C62">
      <w:pPr>
        <w:numPr>
          <w:ilvl w:val="0"/>
          <w:numId w:val="47"/>
        </w:numPr>
        <w:spacing w:after="120" w:line="240" w:lineRule="auto"/>
        <w:rPr>
          <w:sz w:val="22"/>
          <w:szCs w:val="22"/>
        </w:rPr>
      </w:pPr>
      <w:r w:rsidRPr="00E94C62">
        <w:rPr>
          <w:b/>
          <w:bCs/>
          <w:sz w:val="22"/>
          <w:szCs w:val="22"/>
        </w:rPr>
        <w:t>Payment Processing:</w:t>
      </w:r>
      <w:r w:rsidRPr="00E94C62">
        <w:rPr>
          <w:sz w:val="22"/>
          <w:szCs w:val="22"/>
        </w:rPr>
        <w:t xml:space="preserve"> Securing PINs and transaction data in banking (often costing upwards of </w:t>
      </w:r>
      <w:r w:rsidRPr="00E94C62">
        <w:rPr>
          <w:b/>
          <w:bCs/>
          <w:sz w:val="22"/>
          <w:szCs w:val="22"/>
        </w:rPr>
        <w:t>£0.04 million GBP</w:t>
      </w:r>
      <w:r w:rsidRPr="00E94C62">
        <w:rPr>
          <w:sz w:val="22"/>
          <w:szCs w:val="22"/>
        </w:rPr>
        <w:t xml:space="preserve"> for high-end enterprise units).</w:t>
      </w:r>
    </w:p>
    <w:p w14:paraId="0D3488DD" w14:textId="77777777" w:rsidR="00E94C62" w:rsidRPr="00E94C62" w:rsidRDefault="00E94C62" w:rsidP="00E94C62">
      <w:pPr>
        <w:numPr>
          <w:ilvl w:val="0"/>
          <w:numId w:val="47"/>
        </w:numPr>
        <w:spacing w:after="120" w:line="240" w:lineRule="auto"/>
        <w:rPr>
          <w:sz w:val="22"/>
          <w:szCs w:val="22"/>
        </w:rPr>
      </w:pPr>
      <w:r w:rsidRPr="00E94C62">
        <w:rPr>
          <w:b/>
          <w:bCs/>
          <w:sz w:val="22"/>
          <w:szCs w:val="22"/>
        </w:rPr>
        <w:t>Blockchain &amp; Crypto-Wallets:</w:t>
      </w:r>
      <w:r w:rsidRPr="00E94C62">
        <w:rPr>
          <w:sz w:val="22"/>
          <w:szCs w:val="22"/>
        </w:rPr>
        <w:t xml:space="preserve"> Managing private keys for signing transactions without exposing them to the internet.</w:t>
      </w:r>
    </w:p>
    <w:p w14:paraId="33733651" w14:textId="77777777" w:rsidR="00E94C62" w:rsidRPr="00E94C62" w:rsidRDefault="00E94C62" w:rsidP="00E94C62">
      <w:pPr>
        <w:numPr>
          <w:ilvl w:val="0"/>
          <w:numId w:val="47"/>
        </w:numPr>
        <w:spacing w:after="120" w:line="240" w:lineRule="auto"/>
        <w:rPr>
          <w:sz w:val="22"/>
          <w:szCs w:val="22"/>
        </w:rPr>
      </w:pPr>
      <w:r w:rsidRPr="00E94C62">
        <w:rPr>
          <w:b/>
          <w:bCs/>
          <w:sz w:val="22"/>
          <w:szCs w:val="22"/>
        </w:rPr>
        <w:t>Database Encryption:</w:t>
      </w:r>
      <w:r w:rsidRPr="00E94C62">
        <w:rPr>
          <w:sz w:val="22"/>
          <w:szCs w:val="22"/>
        </w:rPr>
        <w:t xml:space="preserve"> Storing the Transparent Data Encryption (TDE) master keys.</w:t>
      </w:r>
    </w:p>
    <w:p w14:paraId="63C7D702" w14:textId="77777777" w:rsidR="00E94C62" w:rsidRPr="00E94C62" w:rsidRDefault="00E94C62" w:rsidP="00E94C62">
      <w:pPr>
        <w:spacing w:after="120" w:line="240" w:lineRule="auto"/>
        <w:rPr>
          <w:b/>
          <w:bCs/>
          <w:sz w:val="22"/>
          <w:szCs w:val="22"/>
        </w:rPr>
      </w:pPr>
      <w:r w:rsidRPr="00E94C62">
        <w:rPr>
          <w:b/>
          <w:bCs/>
          <w:sz w:val="22"/>
          <w:szCs w:val="22"/>
        </w:rPr>
        <w:t>Estimated Cost Projections for Enterprise HSM Deployment</w:t>
      </w:r>
    </w:p>
    <w:p w14:paraId="04904B16" w14:textId="77777777" w:rsidR="00E94C62" w:rsidRPr="00E94C62" w:rsidRDefault="00E94C62" w:rsidP="00E94C62">
      <w:pPr>
        <w:spacing w:after="120" w:line="240" w:lineRule="auto"/>
        <w:rPr>
          <w:sz w:val="22"/>
          <w:szCs w:val="22"/>
        </w:rPr>
      </w:pPr>
      <w:r w:rsidRPr="00E94C62">
        <w:rPr>
          <w:sz w:val="22"/>
          <w:szCs w:val="22"/>
        </w:rPr>
        <w:t>For organizations looking to integrate HSMs into their infrastructure, the following table outlines typical capital expenditure: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95"/>
        <w:gridCol w:w="4321"/>
        <w:gridCol w:w="2011"/>
      </w:tblGrid>
      <w:tr w:rsidR="00E94C62" w:rsidRPr="00E94C62" w14:paraId="40E604F0" w14:textId="77777777">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E9D38ED" w14:textId="77777777" w:rsidR="00E94C62" w:rsidRPr="00E94C62" w:rsidRDefault="00E94C62" w:rsidP="00E94C62">
            <w:pPr>
              <w:spacing w:after="120" w:line="240" w:lineRule="auto"/>
              <w:ind w:left="110"/>
              <w:rPr>
                <w:sz w:val="22"/>
                <w:szCs w:val="22"/>
              </w:rPr>
            </w:pPr>
            <w:r w:rsidRPr="00E94C62">
              <w:rPr>
                <w:b/>
                <w:bCs/>
                <w:sz w:val="22"/>
                <w:szCs w:val="22"/>
              </w:rPr>
              <w:t>Item</w:t>
            </w:r>
          </w:p>
        </w:tc>
        <w:tc>
          <w:tcPr>
            <w:tcW w:w="0" w:type="auto"/>
            <w:tcBorders>
              <w:top w:val="single" w:sz="6" w:space="0" w:color="auto"/>
              <w:left w:val="single" w:sz="6" w:space="0" w:color="auto"/>
              <w:bottom w:val="single" w:sz="6" w:space="0" w:color="auto"/>
              <w:right w:val="single" w:sz="6" w:space="0" w:color="auto"/>
            </w:tcBorders>
            <w:vAlign w:val="center"/>
            <w:hideMark/>
          </w:tcPr>
          <w:p w14:paraId="609D9CD6" w14:textId="77777777" w:rsidR="00E94C62" w:rsidRPr="00E94C62" w:rsidRDefault="00E94C62" w:rsidP="00E94C62">
            <w:pPr>
              <w:spacing w:after="120" w:line="240" w:lineRule="auto"/>
              <w:ind w:left="110"/>
              <w:rPr>
                <w:sz w:val="22"/>
                <w:szCs w:val="22"/>
              </w:rPr>
            </w:pPr>
            <w:r w:rsidRPr="00E94C62">
              <w:rPr>
                <w:b/>
                <w:bCs/>
                <w:sz w:val="22"/>
                <w:szCs w:val="22"/>
              </w:rPr>
              <w:t>Description</w:t>
            </w:r>
          </w:p>
        </w:tc>
        <w:tc>
          <w:tcPr>
            <w:tcW w:w="0" w:type="auto"/>
            <w:tcBorders>
              <w:top w:val="single" w:sz="6" w:space="0" w:color="auto"/>
              <w:left w:val="single" w:sz="6" w:space="0" w:color="auto"/>
              <w:bottom w:val="single" w:sz="6" w:space="0" w:color="auto"/>
              <w:right w:val="single" w:sz="6" w:space="0" w:color="auto"/>
            </w:tcBorders>
            <w:vAlign w:val="center"/>
            <w:hideMark/>
          </w:tcPr>
          <w:p w14:paraId="19969530" w14:textId="77777777" w:rsidR="00E94C62" w:rsidRPr="00E94C62" w:rsidRDefault="00E94C62" w:rsidP="00E94C62">
            <w:pPr>
              <w:spacing w:after="120" w:line="240" w:lineRule="auto"/>
              <w:ind w:left="110"/>
              <w:rPr>
                <w:sz w:val="22"/>
                <w:szCs w:val="22"/>
              </w:rPr>
            </w:pPr>
            <w:r w:rsidRPr="00E94C62">
              <w:rPr>
                <w:b/>
                <w:bCs/>
                <w:sz w:val="22"/>
                <w:szCs w:val="22"/>
              </w:rPr>
              <w:t>Cost (Million GBP)</w:t>
            </w:r>
          </w:p>
        </w:tc>
      </w:tr>
      <w:tr w:rsidR="00E94C62" w:rsidRPr="00E94C62" w14:paraId="74955903"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358555C" w14:textId="77777777" w:rsidR="00E94C62" w:rsidRPr="00E94C62" w:rsidRDefault="00E94C62" w:rsidP="00E94C62">
            <w:pPr>
              <w:spacing w:after="120" w:line="240" w:lineRule="auto"/>
              <w:ind w:left="110"/>
              <w:rPr>
                <w:sz w:val="22"/>
                <w:szCs w:val="22"/>
              </w:rPr>
            </w:pPr>
            <w:r w:rsidRPr="00E94C62">
              <w:rPr>
                <w:b/>
                <w:bCs/>
                <w:sz w:val="22"/>
                <w:szCs w:val="22"/>
              </w:rPr>
              <w:t>Network HSM Unit</w:t>
            </w:r>
          </w:p>
        </w:tc>
        <w:tc>
          <w:tcPr>
            <w:tcW w:w="0" w:type="auto"/>
            <w:tcBorders>
              <w:top w:val="single" w:sz="6" w:space="0" w:color="auto"/>
              <w:left w:val="single" w:sz="6" w:space="0" w:color="auto"/>
              <w:bottom w:val="single" w:sz="6" w:space="0" w:color="auto"/>
              <w:right w:val="single" w:sz="6" w:space="0" w:color="auto"/>
            </w:tcBorders>
            <w:vAlign w:val="center"/>
            <w:hideMark/>
          </w:tcPr>
          <w:p w14:paraId="7ECF9305" w14:textId="77777777" w:rsidR="00E94C62" w:rsidRPr="00E94C62" w:rsidRDefault="00E94C62" w:rsidP="00E94C62">
            <w:pPr>
              <w:spacing w:after="120" w:line="240" w:lineRule="auto"/>
              <w:ind w:left="110"/>
              <w:rPr>
                <w:sz w:val="22"/>
                <w:szCs w:val="22"/>
              </w:rPr>
            </w:pPr>
            <w:r w:rsidRPr="00E94C62">
              <w:rPr>
                <w:sz w:val="22"/>
                <w:szCs w:val="22"/>
              </w:rPr>
              <w:t>High-performance rack-mounted hardware.</w:t>
            </w:r>
          </w:p>
        </w:tc>
        <w:tc>
          <w:tcPr>
            <w:tcW w:w="0" w:type="auto"/>
            <w:tcBorders>
              <w:top w:val="single" w:sz="6" w:space="0" w:color="auto"/>
              <w:left w:val="single" w:sz="6" w:space="0" w:color="auto"/>
              <w:bottom w:val="single" w:sz="6" w:space="0" w:color="auto"/>
              <w:right w:val="single" w:sz="6" w:space="0" w:color="auto"/>
            </w:tcBorders>
            <w:vAlign w:val="center"/>
            <w:hideMark/>
          </w:tcPr>
          <w:p w14:paraId="7C481688" w14:textId="77777777" w:rsidR="00E94C62" w:rsidRPr="00E94C62" w:rsidRDefault="00E94C62" w:rsidP="00E94C62">
            <w:pPr>
              <w:spacing w:after="120" w:line="240" w:lineRule="auto"/>
              <w:ind w:left="110"/>
              <w:rPr>
                <w:sz w:val="22"/>
                <w:szCs w:val="22"/>
              </w:rPr>
            </w:pPr>
            <w:r w:rsidRPr="00E94C62">
              <w:rPr>
                <w:b/>
                <w:bCs/>
                <w:sz w:val="22"/>
                <w:szCs w:val="22"/>
              </w:rPr>
              <w:t>£0.03M</w:t>
            </w:r>
          </w:p>
        </w:tc>
      </w:tr>
      <w:tr w:rsidR="00E94C62" w:rsidRPr="00E94C62" w14:paraId="7387D2AD"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084C0CD" w14:textId="77777777" w:rsidR="00E94C62" w:rsidRPr="00E94C62" w:rsidRDefault="00E94C62" w:rsidP="00E94C62">
            <w:pPr>
              <w:spacing w:after="120" w:line="240" w:lineRule="auto"/>
              <w:ind w:left="110"/>
              <w:rPr>
                <w:sz w:val="22"/>
                <w:szCs w:val="22"/>
              </w:rPr>
            </w:pPr>
            <w:r w:rsidRPr="00E94C62">
              <w:rPr>
                <w:b/>
                <w:bCs/>
                <w:sz w:val="22"/>
                <w:szCs w:val="22"/>
              </w:rPr>
              <w:t>Redundancy/Failover</w:t>
            </w:r>
          </w:p>
        </w:tc>
        <w:tc>
          <w:tcPr>
            <w:tcW w:w="0" w:type="auto"/>
            <w:tcBorders>
              <w:top w:val="single" w:sz="6" w:space="0" w:color="auto"/>
              <w:left w:val="single" w:sz="6" w:space="0" w:color="auto"/>
              <w:bottom w:val="single" w:sz="6" w:space="0" w:color="auto"/>
              <w:right w:val="single" w:sz="6" w:space="0" w:color="auto"/>
            </w:tcBorders>
            <w:vAlign w:val="center"/>
            <w:hideMark/>
          </w:tcPr>
          <w:p w14:paraId="1FE543ED" w14:textId="77777777" w:rsidR="00E94C62" w:rsidRPr="00E94C62" w:rsidRDefault="00E94C62" w:rsidP="00E94C62">
            <w:pPr>
              <w:spacing w:after="120" w:line="240" w:lineRule="auto"/>
              <w:ind w:left="110"/>
              <w:rPr>
                <w:sz w:val="22"/>
                <w:szCs w:val="22"/>
              </w:rPr>
            </w:pPr>
            <w:r w:rsidRPr="00E94C62">
              <w:rPr>
                <w:sz w:val="22"/>
                <w:szCs w:val="22"/>
              </w:rPr>
              <w:t>Secondary unit for high availability.</w:t>
            </w:r>
          </w:p>
        </w:tc>
        <w:tc>
          <w:tcPr>
            <w:tcW w:w="0" w:type="auto"/>
            <w:tcBorders>
              <w:top w:val="single" w:sz="6" w:space="0" w:color="auto"/>
              <w:left w:val="single" w:sz="6" w:space="0" w:color="auto"/>
              <w:bottom w:val="single" w:sz="6" w:space="0" w:color="auto"/>
              <w:right w:val="single" w:sz="6" w:space="0" w:color="auto"/>
            </w:tcBorders>
            <w:vAlign w:val="center"/>
            <w:hideMark/>
          </w:tcPr>
          <w:p w14:paraId="396BB191" w14:textId="77777777" w:rsidR="00E94C62" w:rsidRPr="00E94C62" w:rsidRDefault="00E94C62" w:rsidP="00E94C62">
            <w:pPr>
              <w:spacing w:after="120" w:line="240" w:lineRule="auto"/>
              <w:ind w:left="110"/>
              <w:rPr>
                <w:sz w:val="22"/>
                <w:szCs w:val="22"/>
              </w:rPr>
            </w:pPr>
            <w:r w:rsidRPr="00E94C62">
              <w:rPr>
                <w:b/>
                <w:bCs/>
                <w:sz w:val="22"/>
                <w:szCs w:val="22"/>
              </w:rPr>
              <w:t>£0.03M</w:t>
            </w:r>
          </w:p>
        </w:tc>
      </w:tr>
      <w:tr w:rsidR="00E94C62" w:rsidRPr="00E94C62" w14:paraId="5018F467"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CAA303B" w14:textId="77777777" w:rsidR="00E94C62" w:rsidRPr="00E94C62" w:rsidRDefault="00E94C62" w:rsidP="00E94C62">
            <w:pPr>
              <w:spacing w:after="120" w:line="240" w:lineRule="auto"/>
              <w:ind w:left="110"/>
              <w:rPr>
                <w:sz w:val="22"/>
                <w:szCs w:val="22"/>
              </w:rPr>
            </w:pPr>
            <w:r w:rsidRPr="00E94C62">
              <w:rPr>
                <w:b/>
                <w:bCs/>
                <w:sz w:val="22"/>
                <w:szCs w:val="22"/>
              </w:rPr>
              <w:t>Licensing &amp; Support</w:t>
            </w:r>
          </w:p>
        </w:tc>
        <w:tc>
          <w:tcPr>
            <w:tcW w:w="0" w:type="auto"/>
            <w:tcBorders>
              <w:top w:val="single" w:sz="6" w:space="0" w:color="auto"/>
              <w:left w:val="single" w:sz="6" w:space="0" w:color="auto"/>
              <w:bottom w:val="single" w:sz="6" w:space="0" w:color="auto"/>
              <w:right w:val="single" w:sz="6" w:space="0" w:color="auto"/>
            </w:tcBorders>
            <w:vAlign w:val="center"/>
            <w:hideMark/>
          </w:tcPr>
          <w:p w14:paraId="68092B29" w14:textId="77777777" w:rsidR="00E94C62" w:rsidRPr="00E94C62" w:rsidRDefault="00E94C62" w:rsidP="00E94C62">
            <w:pPr>
              <w:spacing w:after="120" w:line="240" w:lineRule="auto"/>
              <w:ind w:left="110"/>
              <w:rPr>
                <w:sz w:val="22"/>
                <w:szCs w:val="22"/>
              </w:rPr>
            </w:pPr>
            <w:r w:rsidRPr="00E94C62">
              <w:rPr>
                <w:sz w:val="22"/>
                <w:szCs w:val="22"/>
              </w:rPr>
              <w:t>Annual maintenance and software kits.</w:t>
            </w:r>
          </w:p>
        </w:tc>
        <w:tc>
          <w:tcPr>
            <w:tcW w:w="0" w:type="auto"/>
            <w:tcBorders>
              <w:top w:val="single" w:sz="6" w:space="0" w:color="auto"/>
              <w:left w:val="single" w:sz="6" w:space="0" w:color="auto"/>
              <w:bottom w:val="single" w:sz="6" w:space="0" w:color="auto"/>
              <w:right w:val="single" w:sz="6" w:space="0" w:color="auto"/>
            </w:tcBorders>
            <w:vAlign w:val="center"/>
            <w:hideMark/>
          </w:tcPr>
          <w:p w14:paraId="42C9BB08" w14:textId="77777777" w:rsidR="00E94C62" w:rsidRPr="00E94C62" w:rsidRDefault="00E94C62" w:rsidP="00E94C62">
            <w:pPr>
              <w:spacing w:after="120" w:line="240" w:lineRule="auto"/>
              <w:ind w:left="110"/>
              <w:rPr>
                <w:sz w:val="22"/>
                <w:szCs w:val="22"/>
              </w:rPr>
            </w:pPr>
            <w:r w:rsidRPr="00E94C62">
              <w:rPr>
                <w:b/>
                <w:bCs/>
                <w:sz w:val="22"/>
                <w:szCs w:val="22"/>
              </w:rPr>
              <w:t>£0.01M</w:t>
            </w:r>
          </w:p>
        </w:tc>
      </w:tr>
      <w:tr w:rsidR="00E94C62" w:rsidRPr="00E94C62" w14:paraId="47D13C79"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6864ECBB" w14:textId="77777777" w:rsidR="00E94C62" w:rsidRPr="00E94C62" w:rsidRDefault="00E94C62" w:rsidP="00E94C62">
            <w:pPr>
              <w:spacing w:after="120" w:line="240" w:lineRule="auto"/>
              <w:ind w:left="110"/>
              <w:rPr>
                <w:sz w:val="22"/>
                <w:szCs w:val="22"/>
              </w:rPr>
            </w:pPr>
            <w:r w:rsidRPr="00E94C62">
              <w:rPr>
                <w:b/>
                <w:bCs/>
                <w:sz w:val="22"/>
                <w:szCs w:val="22"/>
              </w:rPr>
              <w:t>Total Initial Investment</w:t>
            </w:r>
          </w:p>
        </w:tc>
        <w:tc>
          <w:tcPr>
            <w:tcW w:w="0" w:type="auto"/>
            <w:tcBorders>
              <w:top w:val="single" w:sz="6" w:space="0" w:color="auto"/>
              <w:left w:val="single" w:sz="6" w:space="0" w:color="auto"/>
              <w:bottom w:val="single" w:sz="6" w:space="0" w:color="auto"/>
              <w:right w:val="single" w:sz="6" w:space="0" w:color="auto"/>
            </w:tcBorders>
            <w:vAlign w:val="center"/>
            <w:hideMark/>
          </w:tcPr>
          <w:p w14:paraId="02DAAF8F" w14:textId="77777777" w:rsidR="00E94C62" w:rsidRPr="00E94C62" w:rsidRDefault="00E94C62" w:rsidP="00E94C62">
            <w:pPr>
              <w:spacing w:after="120" w:line="240" w:lineRule="auto"/>
              <w:ind w:left="110"/>
              <w:rPr>
                <w:sz w:val="22"/>
                <w:szCs w:val="22"/>
              </w:rPr>
            </w:pPr>
          </w:p>
        </w:tc>
        <w:tc>
          <w:tcPr>
            <w:tcW w:w="0" w:type="auto"/>
            <w:tcBorders>
              <w:top w:val="single" w:sz="6" w:space="0" w:color="auto"/>
              <w:left w:val="single" w:sz="6" w:space="0" w:color="auto"/>
              <w:bottom w:val="single" w:sz="6" w:space="0" w:color="auto"/>
              <w:right w:val="single" w:sz="6" w:space="0" w:color="auto"/>
            </w:tcBorders>
            <w:vAlign w:val="center"/>
            <w:hideMark/>
          </w:tcPr>
          <w:p w14:paraId="1A8DAA76" w14:textId="77777777" w:rsidR="00E94C62" w:rsidRPr="00E94C62" w:rsidRDefault="00E94C62" w:rsidP="00E94C62">
            <w:pPr>
              <w:spacing w:after="120" w:line="240" w:lineRule="auto"/>
              <w:ind w:left="110"/>
              <w:rPr>
                <w:sz w:val="22"/>
                <w:szCs w:val="22"/>
              </w:rPr>
            </w:pPr>
            <w:r w:rsidRPr="00E94C62">
              <w:rPr>
                <w:b/>
                <w:bCs/>
                <w:sz w:val="22"/>
                <w:szCs w:val="22"/>
              </w:rPr>
              <w:t>£0.07M</w:t>
            </w:r>
          </w:p>
        </w:tc>
      </w:tr>
    </w:tbl>
    <w:p w14:paraId="225D3AF2" w14:textId="6AE84097" w:rsidR="00E94C62" w:rsidRDefault="00E94C62" w:rsidP="00E94C62">
      <w:pPr>
        <w:spacing w:before="120" w:after="120" w:line="240" w:lineRule="auto"/>
        <w:rPr>
          <w:sz w:val="22"/>
          <w:szCs w:val="22"/>
        </w:rPr>
      </w:pPr>
      <w:r w:rsidRPr="00E94C62">
        <w:rPr>
          <w:sz w:val="22"/>
          <w:szCs w:val="22"/>
        </w:rPr>
        <w:t xml:space="preserve">The security of an HSM is validated </w:t>
      </w:r>
      <w:r w:rsidR="003F6EF3">
        <w:rPr>
          <w:sz w:val="22"/>
          <w:szCs w:val="22"/>
        </w:rPr>
        <w:t xml:space="preserve">by international standards such as FIPS 140-2/140-3 (Levels 3 or 4) and Common Criteria, which ensure that </w:t>
      </w:r>
      <w:r w:rsidRPr="00E94C62">
        <w:rPr>
          <w:sz w:val="22"/>
          <w:szCs w:val="22"/>
        </w:rPr>
        <w:t>the hardware can withstand sophisticated physical and logical attacks.</w:t>
      </w:r>
    </w:p>
    <w:p w14:paraId="71E2D5DA" w14:textId="77777777" w:rsidR="0027745B" w:rsidRDefault="0027745B" w:rsidP="00E94C62">
      <w:pPr>
        <w:spacing w:before="120" w:after="120" w:line="240" w:lineRule="auto"/>
        <w:rPr>
          <w:sz w:val="22"/>
          <w:szCs w:val="22"/>
        </w:rPr>
      </w:pPr>
    </w:p>
    <w:p w14:paraId="0B78C488" w14:textId="77777777" w:rsidR="0027745B" w:rsidRDefault="0027745B" w:rsidP="00E94C62">
      <w:pPr>
        <w:spacing w:before="120" w:after="120" w:line="240" w:lineRule="auto"/>
        <w:rPr>
          <w:sz w:val="22"/>
          <w:szCs w:val="22"/>
        </w:rPr>
      </w:pPr>
    </w:p>
    <w:p w14:paraId="474065CC" w14:textId="77777777" w:rsidR="0027745B" w:rsidRDefault="0027745B" w:rsidP="00E94C62">
      <w:pPr>
        <w:spacing w:before="120" w:after="120" w:line="240" w:lineRule="auto"/>
        <w:rPr>
          <w:sz w:val="22"/>
          <w:szCs w:val="22"/>
        </w:rPr>
      </w:pPr>
    </w:p>
    <w:p w14:paraId="434CC433" w14:textId="77777777" w:rsidR="0027745B" w:rsidRDefault="0027745B" w:rsidP="00E94C62">
      <w:pPr>
        <w:spacing w:before="120" w:after="120" w:line="240" w:lineRule="auto"/>
        <w:rPr>
          <w:sz w:val="22"/>
          <w:szCs w:val="22"/>
        </w:rPr>
      </w:pPr>
    </w:p>
    <w:p w14:paraId="3B7FBA3A" w14:textId="77777777" w:rsidR="0027745B" w:rsidRDefault="0027745B" w:rsidP="00E94C62">
      <w:pPr>
        <w:spacing w:before="120" w:after="120" w:line="240" w:lineRule="auto"/>
        <w:rPr>
          <w:sz w:val="22"/>
          <w:szCs w:val="22"/>
        </w:rPr>
      </w:pPr>
    </w:p>
    <w:p w14:paraId="6DF1AA20" w14:textId="77777777" w:rsidR="0027745B" w:rsidRDefault="0027745B" w:rsidP="00E94C62">
      <w:pPr>
        <w:spacing w:before="120" w:after="120" w:line="240" w:lineRule="auto"/>
        <w:rPr>
          <w:sz w:val="22"/>
          <w:szCs w:val="22"/>
        </w:rPr>
      </w:pPr>
    </w:p>
    <w:p w14:paraId="251A7164" w14:textId="77777777" w:rsidR="0027745B" w:rsidRDefault="0027745B" w:rsidP="00E94C62">
      <w:pPr>
        <w:spacing w:before="120" w:after="120" w:line="240" w:lineRule="auto"/>
        <w:rPr>
          <w:sz w:val="22"/>
          <w:szCs w:val="22"/>
        </w:rPr>
      </w:pPr>
    </w:p>
    <w:p w14:paraId="06F975C9" w14:textId="77777777" w:rsidR="0027745B" w:rsidRDefault="0027745B" w:rsidP="00E94C62">
      <w:pPr>
        <w:spacing w:before="120" w:after="120" w:line="240" w:lineRule="auto"/>
        <w:rPr>
          <w:sz w:val="22"/>
          <w:szCs w:val="22"/>
        </w:rPr>
      </w:pPr>
    </w:p>
    <w:p w14:paraId="47683D29" w14:textId="77777777" w:rsidR="0027745B" w:rsidRDefault="0027745B" w:rsidP="00E94C62">
      <w:pPr>
        <w:spacing w:before="120" w:after="120" w:line="240" w:lineRule="auto"/>
        <w:rPr>
          <w:sz w:val="22"/>
          <w:szCs w:val="22"/>
        </w:rPr>
      </w:pPr>
    </w:p>
    <w:p w14:paraId="4CF02A12" w14:textId="77777777" w:rsidR="0027745B" w:rsidRDefault="0027745B" w:rsidP="00E94C62">
      <w:pPr>
        <w:spacing w:before="120" w:after="120" w:line="240" w:lineRule="auto"/>
        <w:rPr>
          <w:sz w:val="22"/>
          <w:szCs w:val="22"/>
        </w:rPr>
      </w:pPr>
    </w:p>
    <w:p w14:paraId="49FD696E" w14:textId="77777777" w:rsidR="0027745B" w:rsidRDefault="0027745B" w:rsidP="00E94C62">
      <w:pPr>
        <w:spacing w:before="120" w:after="120" w:line="240" w:lineRule="auto"/>
        <w:rPr>
          <w:sz w:val="22"/>
          <w:szCs w:val="22"/>
        </w:rPr>
      </w:pPr>
    </w:p>
    <w:sectPr w:rsidR="0027745B" w:rsidSect="00821532">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4E8C9" w14:textId="77777777" w:rsidR="00E815F0" w:rsidRDefault="00E815F0" w:rsidP="008C2043">
      <w:pPr>
        <w:spacing w:after="0" w:line="240" w:lineRule="auto"/>
      </w:pPr>
      <w:r>
        <w:separator/>
      </w:r>
    </w:p>
  </w:endnote>
  <w:endnote w:type="continuationSeparator" w:id="0">
    <w:p w14:paraId="2DE13827" w14:textId="77777777" w:rsidR="00E815F0" w:rsidRDefault="00E815F0" w:rsidP="008C20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3412E" w14:textId="77777777" w:rsidR="00E815F0" w:rsidRDefault="00E815F0" w:rsidP="008C2043">
      <w:pPr>
        <w:spacing w:after="0" w:line="240" w:lineRule="auto"/>
      </w:pPr>
      <w:r>
        <w:separator/>
      </w:r>
    </w:p>
  </w:footnote>
  <w:footnote w:type="continuationSeparator" w:id="0">
    <w:p w14:paraId="56F0DA86" w14:textId="77777777" w:rsidR="00E815F0" w:rsidRDefault="00E815F0" w:rsidP="008C20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6231D"/>
    <w:multiLevelType w:val="multilevel"/>
    <w:tmpl w:val="7F24F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EA3BA7"/>
    <w:multiLevelType w:val="multilevel"/>
    <w:tmpl w:val="78500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883292"/>
    <w:multiLevelType w:val="multilevel"/>
    <w:tmpl w:val="9C62D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400FF3"/>
    <w:multiLevelType w:val="multilevel"/>
    <w:tmpl w:val="06601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5062FA"/>
    <w:multiLevelType w:val="multilevel"/>
    <w:tmpl w:val="981AC8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023AF6"/>
    <w:multiLevelType w:val="multilevel"/>
    <w:tmpl w:val="76925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321458"/>
    <w:multiLevelType w:val="multilevel"/>
    <w:tmpl w:val="36FE0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722DDA"/>
    <w:multiLevelType w:val="multilevel"/>
    <w:tmpl w:val="9E1867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25E454B"/>
    <w:multiLevelType w:val="multilevel"/>
    <w:tmpl w:val="3EC0A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654E8A"/>
    <w:multiLevelType w:val="multilevel"/>
    <w:tmpl w:val="B328A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D064AB"/>
    <w:multiLevelType w:val="multilevel"/>
    <w:tmpl w:val="991EA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AF427E"/>
    <w:multiLevelType w:val="multilevel"/>
    <w:tmpl w:val="53D81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F93C18"/>
    <w:multiLevelType w:val="multilevel"/>
    <w:tmpl w:val="42B22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4E3CE5"/>
    <w:multiLevelType w:val="multilevel"/>
    <w:tmpl w:val="DA6E2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E55528"/>
    <w:multiLevelType w:val="multilevel"/>
    <w:tmpl w:val="56242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095F3C"/>
    <w:multiLevelType w:val="multilevel"/>
    <w:tmpl w:val="B5728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232E10"/>
    <w:multiLevelType w:val="multilevel"/>
    <w:tmpl w:val="9BDE2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9A2DF0"/>
    <w:multiLevelType w:val="multilevel"/>
    <w:tmpl w:val="2A80F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8630B40"/>
    <w:multiLevelType w:val="multilevel"/>
    <w:tmpl w:val="6EAE9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89D5931"/>
    <w:multiLevelType w:val="multilevel"/>
    <w:tmpl w:val="D772C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9585F97"/>
    <w:multiLevelType w:val="multilevel"/>
    <w:tmpl w:val="C9CAD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B620396"/>
    <w:multiLevelType w:val="multilevel"/>
    <w:tmpl w:val="7AF2F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F313085"/>
    <w:multiLevelType w:val="multilevel"/>
    <w:tmpl w:val="5420C8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1DF77A7"/>
    <w:multiLevelType w:val="multilevel"/>
    <w:tmpl w:val="34C6D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65525DF"/>
    <w:multiLevelType w:val="multilevel"/>
    <w:tmpl w:val="50E01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C1376FC"/>
    <w:multiLevelType w:val="multilevel"/>
    <w:tmpl w:val="DC66D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9F75F06"/>
    <w:multiLevelType w:val="multilevel"/>
    <w:tmpl w:val="6F6AB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633F47"/>
    <w:multiLevelType w:val="multilevel"/>
    <w:tmpl w:val="6D6C5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E7704B"/>
    <w:multiLevelType w:val="multilevel"/>
    <w:tmpl w:val="6010B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21A6364"/>
    <w:multiLevelType w:val="multilevel"/>
    <w:tmpl w:val="7C125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8062D53"/>
    <w:multiLevelType w:val="multilevel"/>
    <w:tmpl w:val="26308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221A95"/>
    <w:multiLevelType w:val="multilevel"/>
    <w:tmpl w:val="07BE7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8A12A12"/>
    <w:multiLevelType w:val="multilevel"/>
    <w:tmpl w:val="80EC6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A087385"/>
    <w:multiLevelType w:val="multilevel"/>
    <w:tmpl w:val="1C4AB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A7301B3"/>
    <w:multiLevelType w:val="multilevel"/>
    <w:tmpl w:val="BE429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BC77D9A"/>
    <w:multiLevelType w:val="multilevel"/>
    <w:tmpl w:val="A4061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F4867CC"/>
    <w:multiLevelType w:val="multilevel"/>
    <w:tmpl w:val="80581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B951D2"/>
    <w:multiLevelType w:val="multilevel"/>
    <w:tmpl w:val="52EA6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266086B"/>
    <w:multiLevelType w:val="multilevel"/>
    <w:tmpl w:val="59963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4AC46CB"/>
    <w:multiLevelType w:val="multilevel"/>
    <w:tmpl w:val="5C42C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A216B7"/>
    <w:multiLevelType w:val="multilevel"/>
    <w:tmpl w:val="31724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A3E7204"/>
    <w:multiLevelType w:val="multilevel"/>
    <w:tmpl w:val="B89E3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AA43FE7"/>
    <w:multiLevelType w:val="multilevel"/>
    <w:tmpl w:val="66DA1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ADC23C6"/>
    <w:multiLevelType w:val="multilevel"/>
    <w:tmpl w:val="1E6C9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C9D5AC4"/>
    <w:multiLevelType w:val="multilevel"/>
    <w:tmpl w:val="B3AC5A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F6510CB"/>
    <w:multiLevelType w:val="multilevel"/>
    <w:tmpl w:val="D00C18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FCE5F39"/>
    <w:multiLevelType w:val="multilevel"/>
    <w:tmpl w:val="8B4E9B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7114282">
    <w:abstractNumId w:val="40"/>
  </w:num>
  <w:num w:numId="2" w16cid:durableId="19094323">
    <w:abstractNumId w:val="38"/>
  </w:num>
  <w:num w:numId="3" w16cid:durableId="1067798276">
    <w:abstractNumId w:val="43"/>
  </w:num>
  <w:num w:numId="4" w16cid:durableId="92285903">
    <w:abstractNumId w:val="10"/>
  </w:num>
  <w:num w:numId="5" w16cid:durableId="1376000085">
    <w:abstractNumId w:val="37"/>
  </w:num>
  <w:num w:numId="6" w16cid:durableId="1662781390">
    <w:abstractNumId w:val="14"/>
  </w:num>
  <w:num w:numId="7" w16cid:durableId="59717506">
    <w:abstractNumId w:val="17"/>
  </w:num>
  <w:num w:numId="8" w16cid:durableId="886337694">
    <w:abstractNumId w:val="20"/>
  </w:num>
  <w:num w:numId="9" w16cid:durableId="594944067">
    <w:abstractNumId w:val="41"/>
  </w:num>
  <w:num w:numId="10" w16cid:durableId="859323144">
    <w:abstractNumId w:val="28"/>
  </w:num>
  <w:num w:numId="11" w16cid:durableId="1815488560">
    <w:abstractNumId w:val="30"/>
  </w:num>
  <w:num w:numId="12" w16cid:durableId="754979182">
    <w:abstractNumId w:val="35"/>
  </w:num>
  <w:num w:numId="13" w16cid:durableId="2119255192">
    <w:abstractNumId w:val="32"/>
  </w:num>
  <w:num w:numId="14" w16cid:durableId="24643817">
    <w:abstractNumId w:val="21"/>
  </w:num>
  <w:num w:numId="15" w16cid:durableId="1914662906">
    <w:abstractNumId w:val="0"/>
  </w:num>
  <w:num w:numId="16" w16cid:durableId="793141105">
    <w:abstractNumId w:val="46"/>
  </w:num>
  <w:num w:numId="17" w16cid:durableId="153566665">
    <w:abstractNumId w:val="25"/>
  </w:num>
  <w:num w:numId="18" w16cid:durableId="1292901847">
    <w:abstractNumId w:val="5"/>
  </w:num>
  <w:num w:numId="19" w16cid:durableId="483544691">
    <w:abstractNumId w:val="45"/>
  </w:num>
  <w:num w:numId="20" w16cid:durableId="17020512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0370263">
    <w:abstractNumId w:val="27"/>
  </w:num>
  <w:num w:numId="22" w16cid:durableId="1839156850">
    <w:abstractNumId w:val="2"/>
  </w:num>
  <w:num w:numId="23" w16cid:durableId="1062216642">
    <w:abstractNumId w:val="4"/>
  </w:num>
  <w:num w:numId="24" w16cid:durableId="1156141159">
    <w:abstractNumId w:val="6"/>
  </w:num>
  <w:num w:numId="25" w16cid:durableId="1939868226">
    <w:abstractNumId w:val="29"/>
  </w:num>
  <w:num w:numId="26" w16cid:durableId="922304335">
    <w:abstractNumId w:val="8"/>
  </w:num>
  <w:num w:numId="27" w16cid:durableId="588462013">
    <w:abstractNumId w:val="42"/>
  </w:num>
  <w:num w:numId="28" w16cid:durableId="1071850491">
    <w:abstractNumId w:val="12"/>
  </w:num>
  <w:num w:numId="29" w16cid:durableId="1635527291">
    <w:abstractNumId w:val="9"/>
  </w:num>
  <w:num w:numId="30" w16cid:durableId="1859735587">
    <w:abstractNumId w:val="34"/>
  </w:num>
  <w:num w:numId="31" w16cid:durableId="1664965524">
    <w:abstractNumId w:val="16"/>
  </w:num>
  <w:num w:numId="32" w16cid:durableId="2100563824">
    <w:abstractNumId w:val="3"/>
  </w:num>
  <w:num w:numId="33" w16cid:durableId="560361090">
    <w:abstractNumId w:val="36"/>
  </w:num>
  <w:num w:numId="34" w16cid:durableId="672994434">
    <w:abstractNumId w:val="19"/>
  </w:num>
  <w:num w:numId="35" w16cid:durableId="1495804267">
    <w:abstractNumId w:val="1"/>
  </w:num>
  <w:num w:numId="36" w16cid:durableId="399641954">
    <w:abstractNumId w:val="23"/>
  </w:num>
  <w:num w:numId="37" w16cid:durableId="2035961059">
    <w:abstractNumId w:val="18"/>
  </w:num>
  <w:num w:numId="38" w16cid:durableId="701855985">
    <w:abstractNumId w:val="33"/>
  </w:num>
  <w:num w:numId="39" w16cid:durableId="881330533">
    <w:abstractNumId w:val="44"/>
  </w:num>
  <w:num w:numId="40" w16cid:durableId="1905675054">
    <w:abstractNumId w:val="11"/>
  </w:num>
  <w:num w:numId="41" w16cid:durableId="571888142">
    <w:abstractNumId w:val="15"/>
  </w:num>
  <w:num w:numId="42" w16cid:durableId="1101685042">
    <w:abstractNumId w:val="24"/>
  </w:num>
  <w:num w:numId="43" w16cid:durableId="1358505741">
    <w:abstractNumId w:val="13"/>
  </w:num>
  <w:num w:numId="44" w16cid:durableId="1312829062">
    <w:abstractNumId w:val="26"/>
  </w:num>
  <w:num w:numId="45" w16cid:durableId="2122725497">
    <w:abstractNumId w:val="39"/>
  </w:num>
  <w:num w:numId="46" w16cid:durableId="1423723128">
    <w:abstractNumId w:val="31"/>
  </w:num>
  <w:num w:numId="47" w16cid:durableId="2721327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773"/>
    <w:rsid w:val="00044E54"/>
    <w:rsid w:val="000540B0"/>
    <w:rsid w:val="000A3CD3"/>
    <w:rsid w:val="000A6950"/>
    <w:rsid w:val="000B655F"/>
    <w:rsid w:val="000E44EC"/>
    <w:rsid w:val="00137BA4"/>
    <w:rsid w:val="00145875"/>
    <w:rsid w:val="00182A87"/>
    <w:rsid w:val="0027745B"/>
    <w:rsid w:val="002C7407"/>
    <w:rsid w:val="003731ED"/>
    <w:rsid w:val="003A1000"/>
    <w:rsid w:val="003B384B"/>
    <w:rsid w:val="003E714E"/>
    <w:rsid w:val="003F48B3"/>
    <w:rsid w:val="003F6EF3"/>
    <w:rsid w:val="00417239"/>
    <w:rsid w:val="00432FF1"/>
    <w:rsid w:val="00451EC9"/>
    <w:rsid w:val="00473A28"/>
    <w:rsid w:val="004C2A38"/>
    <w:rsid w:val="004C35A3"/>
    <w:rsid w:val="00551869"/>
    <w:rsid w:val="005652F0"/>
    <w:rsid w:val="005B1533"/>
    <w:rsid w:val="005D58F2"/>
    <w:rsid w:val="005E6039"/>
    <w:rsid w:val="0060259E"/>
    <w:rsid w:val="006B0BB5"/>
    <w:rsid w:val="006C6369"/>
    <w:rsid w:val="00713B56"/>
    <w:rsid w:val="007A72B8"/>
    <w:rsid w:val="007C2C6E"/>
    <w:rsid w:val="007C5853"/>
    <w:rsid w:val="007F63B5"/>
    <w:rsid w:val="008200F1"/>
    <w:rsid w:val="00821532"/>
    <w:rsid w:val="00852D76"/>
    <w:rsid w:val="008C2043"/>
    <w:rsid w:val="008D74E7"/>
    <w:rsid w:val="00962627"/>
    <w:rsid w:val="00A10E20"/>
    <w:rsid w:val="00A15B23"/>
    <w:rsid w:val="00A4398E"/>
    <w:rsid w:val="00A673BC"/>
    <w:rsid w:val="00A974F5"/>
    <w:rsid w:val="00B657CB"/>
    <w:rsid w:val="00B97673"/>
    <w:rsid w:val="00BB00FD"/>
    <w:rsid w:val="00BF25DA"/>
    <w:rsid w:val="00C27AE8"/>
    <w:rsid w:val="00C84D58"/>
    <w:rsid w:val="00CB0DC8"/>
    <w:rsid w:val="00CC2878"/>
    <w:rsid w:val="00CC4AA5"/>
    <w:rsid w:val="00D01E32"/>
    <w:rsid w:val="00E70773"/>
    <w:rsid w:val="00E765CC"/>
    <w:rsid w:val="00E815F0"/>
    <w:rsid w:val="00E94C62"/>
    <w:rsid w:val="00EF4344"/>
    <w:rsid w:val="00F0030B"/>
    <w:rsid w:val="00F02DF8"/>
    <w:rsid w:val="00F377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932F0"/>
  <w15:chartTrackingRefBased/>
  <w15:docId w15:val="{825234E7-303E-4C26-B989-17A6F66CD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07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07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707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07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07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07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07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07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07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07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07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707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07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07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07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07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07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0773"/>
    <w:rPr>
      <w:rFonts w:eastAsiaTheme="majorEastAsia" w:cstheme="majorBidi"/>
      <w:color w:val="272727" w:themeColor="text1" w:themeTint="D8"/>
    </w:rPr>
  </w:style>
  <w:style w:type="paragraph" w:styleId="Title">
    <w:name w:val="Title"/>
    <w:basedOn w:val="Normal"/>
    <w:next w:val="Normal"/>
    <w:link w:val="TitleChar"/>
    <w:uiPriority w:val="10"/>
    <w:qFormat/>
    <w:rsid w:val="00E707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07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07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07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0773"/>
    <w:pPr>
      <w:spacing w:before="160"/>
      <w:jc w:val="center"/>
    </w:pPr>
    <w:rPr>
      <w:i/>
      <w:iCs/>
      <w:color w:val="404040" w:themeColor="text1" w:themeTint="BF"/>
    </w:rPr>
  </w:style>
  <w:style w:type="character" w:customStyle="1" w:styleId="QuoteChar">
    <w:name w:val="Quote Char"/>
    <w:basedOn w:val="DefaultParagraphFont"/>
    <w:link w:val="Quote"/>
    <w:uiPriority w:val="29"/>
    <w:rsid w:val="00E70773"/>
    <w:rPr>
      <w:i/>
      <w:iCs/>
      <w:color w:val="404040" w:themeColor="text1" w:themeTint="BF"/>
    </w:rPr>
  </w:style>
  <w:style w:type="paragraph" w:styleId="ListParagraph">
    <w:name w:val="List Paragraph"/>
    <w:basedOn w:val="Normal"/>
    <w:uiPriority w:val="34"/>
    <w:qFormat/>
    <w:rsid w:val="00E70773"/>
    <w:pPr>
      <w:ind w:left="720"/>
      <w:contextualSpacing/>
    </w:pPr>
  </w:style>
  <w:style w:type="character" w:styleId="IntenseEmphasis">
    <w:name w:val="Intense Emphasis"/>
    <w:basedOn w:val="DefaultParagraphFont"/>
    <w:uiPriority w:val="21"/>
    <w:qFormat/>
    <w:rsid w:val="00E70773"/>
    <w:rPr>
      <w:i/>
      <w:iCs/>
      <w:color w:val="0F4761" w:themeColor="accent1" w:themeShade="BF"/>
    </w:rPr>
  </w:style>
  <w:style w:type="paragraph" w:styleId="IntenseQuote">
    <w:name w:val="Intense Quote"/>
    <w:basedOn w:val="Normal"/>
    <w:next w:val="Normal"/>
    <w:link w:val="IntenseQuoteChar"/>
    <w:uiPriority w:val="30"/>
    <w:qFormat/>
    <w:rsid w:val="00E707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0773"/>
    <w:rPr>
      <w:i/>
      <w:iCs/>
      <w:color w:val="0F4761" w:themeColor="accent1" w:themeShade="BF"/>
    </w:rPr>
  </w:style>
  <w:style w:type="character" w:styleId="IntenseReference">
    <w:name w:val="Intense Reference"/>
    <w:basedOn w:val="DefaultParagraphFont"/>
    <w:uiPriority w:val="32"/>
    <w:qFormat/>
    <w:rsid w:val="00E70773"/>
    <w:rPr>
      <w:b/>
      <w:bCs/>
      <w:smallCaps/>
      <w:color w:val="0F4761" w:themeColor="accent1" w:themeShade="BF"/>
      <w:spacing w:val="5"/>
    </w:rPr>
  </w:style>
  <w:style w:type="paragraph" w:styleId="FootnoteText">
    <w:name w:val="footnote text"/>
    <w:basedOn w:val="Normal"/>
    <w:link w:val="FootnoteTextChar"/>
    <w:uiPriority w:val="99"/>
    <w:semiHidden/>
    <w:unhideWhenUsed/>
    <w:rsid w:val="008C204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C2043"/>
    <w:rPr>
      <w:sz w:val="20"/>
      <w:szCs w:val="20"/>
    </w:rPr>
  </w:style>
  <w:style w:type="character" w:styleId="FootnoteReference">
    <w:name w:val="footnote reference"/>
    <w:basedOn w:val="DefaultParagraphFont"/>
    <w:uiPriority w:val="99"/>
    <w:semiHidden/>
    <w:unhideWhenUsed/>
    <w:rsid w:val="008C2043"/>
    <w:rPr>
      <w:vertAlign w:val="superscript"/>
    </w:rPr>
  </w:style>
  <w:style w:type="paragraph" w:styleId="NormalWeb">
    <w:name w:val="Normal (Web)"/>
    <w:basedOn w:val="Normal"/>
    <w:uiPriority w:val="99"/>
    <w:unhideWhenUsed/>
    <w:rsid w:val="008C2043"/>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itation-255">
    <w:name w:val="citation-255"/>
    <w:basedOn w:val="DefaultParagraphFont"/>
    <w:rsid w:val="008C2043"/>
  </w:style>
  <w:style w:type="character" w:customStyle="1" w:styleId="citation-254">
    <w:name w:val="citation-254"/>
    <w:basedOn w:val="DefaultParagraphFont"/>
    <w:rsid w:val="008C2043"/>
  </w:style>
  <w:style w:type="character" w:customStyle="1" w:styleId="citation-252">
    <w:name w:val="citation-252"/>
    <w:basedOn w:val="DefaultParagraphFont"/>
    <w:rsid w:val="00044E54"/>
  </w:style>
  <w:style w:type="character" w:customStyle="1" w:styleId="citation-251">
    <w:name w:val="citation-251"/>
    <w:basedOn w:val="DefaultParagraphFont"/>
    <w:rsid w:val="00044E54"/>
  </w:style>
  <w:style w:type="paragraph" w:styleId="NoSpacing">
    <w:name w:val="No Spacing"/>
    <w:link w:val="NoSpacingChar"/>
    <w:uiPriority w:val="1"/>
    <w:qFormat/>
    <w:rsid w:val="00821532"/>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821532"/>
    <w:rPr>
      <w:rFonts w:eastAsiaTheme="minorEastAsia"/>
      <w:kern w:val="0"/>
      <w:sz w:val="22"/>
      <w:szCs w:val="22"/>
      <w14:ligatures w14:val="none"/>
    </w:rPr>
  </w:style>
  <w:style w:type="character" w:styleId="Hyperlink">
    <w:name w:val="Hyperlink"/>
    <w:basedOn w:val="DefaultParagraphFont"/>
    <w:uiPriority w:val="99"/>
    <w:unhideWhenUsed/>
    <w:rsid w:val="00E765CC"/>
    <w:rPr>
      <w:color w:val="467886" w:themeColor="hyperlink"/>
      <w:u w:val="single"/>
    </w:rPr>
  </w:style>
  <w:style w:type="character" w:styleId="UnresolvedMention">
    <w:name w:val="Unresolved Mention"/>
    <w:basedOn w:val="DefaultParagraphFont"/>
    <w:uiPriority w:val="99"/>
    <w:semiHidden/>
    <w:unhideWhenUsed/>
    <w:rsid w:val="00E765CC"/>
    <w:rPr>
      <w:color w:val="605E5C"/>
      <w:shd w:val="clear" w:color="auto" w:fill="E1DFDD"/>
    </w:rPr>
  </w:style>
  <w:style w:type="character" w:styleId="Strong">
    <w:name w:val="Strong"/>
    <w:basedOn w:val="DefaultParagraphFont"/>
    <w:uiPriority w:val="22"/>
    <w:qFormat/>
    <w:rsid w:val="001458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jermakyan@ravcap.com"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ravcap.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jermakyan@ravcap.co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www.ravca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This document outlines GSCX Group’s hybrid mainframe-to-cloud architecture and the resilience strategy with a Tri-Node, Dual-mode, sovereign Infrastructure, employing a "decoupled logic" model to eliminate the opportunities of jurisdictional “long-arm” outreach, and ensure data and operational security.</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E92D1E0-5AEB-490B-BE73-C321862A8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4875</Words>
  <Characters>27794</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Global Secure Distribution and Disaster Recovery Architecture</vt:lpstr>
    </vt:vector>
  </TitlesOfParts>
  <Company/>
  <LinksUpToDate>false</LinksUpToDate>
  <CharactersWithSpaces>32604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Global Secure Distribution and Disaster Recovery Architecture</dc:title>
  <dc:subject>GSCX Group’s Bermuda-headquartered                   Digital Asset Business</dc:subject>
  <dc:creator>By Martin Jermakyan</dc:creator>
  <cp:keywords/>
  <dc:description/>
  <cp:lastModifiedBy>Martin Jermakyan</cp:lastModifiedBy>
  <cp:revision>2</cp:revision>
  <cp:lastPrinted>2026-04-15T12:58:00Z</cp:lastPrinted>
  <dcterms:created xsi:type="dcterms:W3CDTF">2026-04-29T16:56:00Z</dcterms:created>
  <dcterms:modified xsi:type="dcterms:W3CDTF">2026-04-29T16:56:00Z</dcterms:modified>
  <cp:category>GSCX Group/RACS International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b490e133-11fc-43ee-bfe1-bae0604e1b8e</vt:lpwstr>
  </property>
</Properties>
</file>