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42E5C" w14:textId="746DE6EC" w:rsidR="00D4499B" w:rsidRPr="00D4499B" w:rsidRDefault="00D4499B" w:rsidP="00D4499B">
      <w:pPr>
        <w:spacing w:after="270" w:line="300" w:lineRule="atLeast"/>
        <w:rPr>
          <w:rFonts w:ascii="Times New Roman" w:eastAsia="Times New Roman" w:hAnsi="Times New Roman" w:cs="Times New Roman"/>
          <w:kern w:val="0"/>
          <w14:ligatures w14:val="none"/>
        </w:rPr>
      </w:pPr>
      <w:r w:rsidRPr="00D4499B">
        <w:rPr>
          <w:rFonts w:ascii="Arial" w:eastAsia="Times New Roman" w:hAnsi="Arial" w:cs="Arial"/>
          <w:kern w:val="0"/>
          <w:sz w:val="21"/>
          <w:szCs w:val="21"/>
          <w14:ligatures w14:val="none"/>
        </w:rPr>
        <w:t>Based on World Bank and Inter-American Development Bank (IDB) data for 2025, private remittance flows to Low- and Middle-Income Countries (LMICs) have reached record levels, totaling approximately</w:t>
      </w:r>
      <w:r>
        <w:rPr>
          <w:rFonts w:ascii="Arial" w:eastAsia="Times New Roman" w:hAnsi="Arial" w:cs="Arial"/>
          <w:kern w:val="0"/>
          <w:sz w:val="21"/>
          <w:szCs w:val="21"/>
          <w14:ligatures w14:val="none"/>
        </w:rPr>
        <w:t xml:space="preserve"> </w:t>
      </w:r>
      <w:r>
        <w:rPr>
          <w:rFonts w:ascii="Times New Roman" w:eastAsia="Times New Roman" w:hAnsi="Times New Roman" w:cs="Times New Roman"/>
          <w:b/>
          <w:bCs/>
          <w:kern w:val="0"/>
          <w14:ligatures w14:val="none"/>
        </w:rPr>
        <w:t>$690-$</w:t>
      </w:r>
      <w:r w:rsidRPr="00D4499B">
        <w:rPr>
          <w:rFonts w:ascii="Times New Roman" w:eastAsia="Times New Roman" w:hAnsi="Times New Roman" w:cs="Times New Roman"/>
          <w:b/>
          <w:bCs/>
          <w:kern w:val="0"/>
          <w14:ligatures w14:val="none"/>
        </w:rPr>
        <w:t>700 billion</w:t>
      </w:r>
      <w:r w:rsidRPr="00D4499B">
        <w:rPr>
          <w:rFonts w:ascii="Times New Roman" w:eastAsia="Times New Roman" w:hAnsi="Times New Roman" w:cs="Times New Roman"/>
          <w:kern w:val="0"/>
          <w14:ligatures w14:val="none"/>
        </w:rPr>
        <w:t>.</w:t>
      </w:r>
    </w:p>
    <w:p w14:paraId="38433BE4" w14:textId="70E24256" w:rsidR="00D4499B" w:rsidRPr="00D4499B" w:rsidRDefault="00D4499B" w:rsidP="00D4499B">
      <w:pPr>
        <w:spacing w:before="100" w:beforeAutospacing="1" w:after="27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 xml:space="preserve">This resilience is driven by tight labor markets in high-income economies, exchange rate stabilities in key recipient nations, and "precautionary" sending by migrants in response to </w:t>
      </w:r>
      <w:r>
        <w:rPr>
          <w:rFonts w:ascii="Arial" w:eastAsia="Times New Roman" w:hAnsi="Arial" w:cs="Arial"/>
          <w:kern w:val="0"/>
          <w:sz w:val="21"/>
          <w:szCs w:val="21"/>
          <w14:ligatures w14:val="none"/>
        </w:rPr>
        <w:t xml:space="preserve">the </w:t>
      </w:r>
      <w:r w:rsidRPr="00D4499B">
        <w:rPr>
          <w:rFonts w:ascii="Arial" w:eastAsia="Times New Roman" w:hAnsi="Arial" w:cs="Arial"/>
          <w:kern w:val="0"/>
          <w:sz w:val="21"/>
          <w:szCs w:val="21"/>
          <w14:ligatures w14:val="none"/>
        </w:rPr>
        <w:t>tightening immigration policies.</w:t>
      </w:r>
    </w:p>
    <w:p w14:paraId="065D63B7" w14:textId="77777777" w:rsidR="00D4499B" w:rsidRDefault="00D4499B" w:rsidP="00D4499B">
      <w:pPr>
        <w:spacing w:after="0" w:line="240" w:lineRule="auto"/>
        <w:outlineLvl w:val="2"/>
        <w:rPr>
          <w:rFonts w:ascii="Times New Roman" w:eastAsia="Times New Roman" w:hAnsi="Times New Roman" w:cs="Times New Roman"/>
          <w:b/>
          <w:bCs/>
          <w:kern w:val="0"/>
          <w:sz w:val="27"/>
          <w:szCs w:val="27"/>
          <w14:ligatures w14:val="none"/>
        </w:rPr>
      </w:pPr>
      <w:r w:rsidRPr="00D4499B">
        <w:rPr>
          <w:rFonts w:ascii="Times New Roman" w:eastAsia="Times New Roman" w:hAnsi="Times New Roman" w:cs="Times New Roman"/>
          <w:b/>
          <w:bCs/>
          <w:kern w:val="0"/>
          <w:sz w:val="27"/>
          <w:szCs w:val="27"/>
          <w14:ligatures w14:val="none"/>
        </w:rPr>
        <w:t>2025 Regional Breakdown of Remittances</w:t>
      </w:r>
    </w:p>
    <w:p w14:paraId="35C1C7D3" w14:textId="77777777" w:rsidR="00D4499B" w:rsidRPr="00D4499B" w:rsidRDefault="00D4499B" w:rsidP="00D4499B">
      <w:pPr>
        <w:spacing w:after="0" w:line="240" w:lineRule="auto"/>
        <w:outlineLvl w:val="2"/>
        <w:rPr>
          <w:rFonts w:ascii="Times New Roman" w:eastAsia="Times New Roman" w:hAnsi="Times New Roman" w:cs="Times New Roman"/>
          <w:b/>
          <w:bCs/>
          <w:kern w:val="0"/>
          <w:sz w:val="27"/>
          <w:szCs w:val="27"/>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0"/>
        <w:gridCol w:w="1350"/>
        <w:gridCol w:w="1185"/>
        <w:gridCol w:w="5115"/>
      </w:tblGrid>
      <w:tr w:rsidR="00E4681E" w:rsidRPr="00D4499B" w14:paraId="21D83986" w14:textId="77777777" w:rsidTr="00A77B80">
        <w:trPr>
          <w:tblCellSpacing w:w="15" w:type="dxa"/>
        </w:trPr>
        <w:tc>
          <w:tcPr>
            <w:tcW w:w="1665" w:type="dxa"/>
            <w:tcBorders>
              <w:top w:val="nil"/>
              <w:right w:val="nil"/>
            </w:tcBorders>
            <w:tcMar>
              <w:top w:w="90" w:type="dxa"/>
              <w:left w:w="180" w:type="dxa"/>
              <w:bottom w:w="90" w:type="dxa"/>
              <w:right w:w="180" w:type="dxa"/>
            </w:tcMar>
            <w:vAlign w:val="center"/>
            <w:hideMark/>
          </w:tcPr>
          <w:p w14:paraId="47C70B58" w14:textId="77777777" w:rsidR="00D4499B" w:rsidRPr="00D4499B" w:rsidRDefault="00D4499B" w:rsidP="00D4499B">
            <w:pPr>
              <w:spacing w:after="0" w:line="300" w:lineRule="atLeast"/>
              <w:rPr>
                <w:rFonts w:ascii="Arial" w:eastAsia="Times New Roman" w:hAnsi="Arial" w:cs="Arial"/>
                <w:b/>
                <w:bCs/>
                <w:kern w:val="0"/>
                <w:sz w:val="21"/>
                <w:szCs w:val="21"/>
                <w14:ligatures w14:val="none"/>
              </w:rPr>
            </w:pPr>
            <w:r w:rsidRPr="00D4499B">
              <w:rPr>
                <w:rFonts w:ascii="Arial" w:eastAsia="Times New Roman" w:hAnsi="Arial" w:cs="Arial"/>
                <w:b/>
                <w:bCs/>
                <w:kern w:val="0"/>
                <w:sz w:val="21"/>
                <w:szCs w:val="21"/>
                <w14:ligatures w14:val="none"/>
              </w:rPr>
              <w:t>Region</w:t>
            </w:r>
          </w:p>
        </w:tc>
        <w:tc>
          <w:tcPr>
            <w:tcW w:w="1320" w:type="dxa"/>
            <w:tcBorders>
              <w:top w:val="nil"/>
              <w:right w:val="nil"/>
            </w:tcBorders>
            <w:tcMar>
              <w:top w:w="90" w:type="dxa"/>
              <w:left w:w="180" w:type="dxa"/>
              <w:bottom w:w="90" w:type="dxa"/>
              <w:right w:w="180" w:type="dxa"/>
            </w:tcMar>
            <w:vAlign w:val="center"/>
            <w:hideMark/>
          </w:tcPr>
          <w:p w14:paraId="3A0AFAB9" w14:textId="77777777" w:rsidR="00D4499B" w:rsidRPr="00D4499B" w:rsidRDefault="00D4499B" w:rsidP="00D4499B">
            <w:pPr>
              <w:spacing w:after="0" w:line="300" w:lineRule="atLeast"/>
              <w:rPr>
                <w:rFonts w:ascii="Arial" w:eastAsia="Times New Roman" w:hAnsi="Arial" w:cs="Arial"/>
                <w:b/>
                <w:bCs/>
                <w:kern w:val="0"/>
                <w:sz w:val="21"/>
                <w:szCs w:val="21"/>
                <w14:ligatures w14:val="none"/>
              </w:rPr>
            </w:pPr>
            <w:r w:rsidRPr="00D4499B">
              <w:rPr>
                <w:rFonts w:ascii="Arial" w:eastAsia="Times New Roman" w:hAnsi="Arial" w:cs="Arial"/>
                <w:b/>
                <w:bCs/>
                <w:kern w:val="0"/>
                <w:sz w:val="21"/>
                <w:szCs w:val="21"/>
                <w14:ligatures w14:val="none"/>
              </w:rPr>
              <w:t>Est. 2025 Inflow</w:t>
            </w:r>
          </w:p>
        </w:tc>
        <w:tc>
          <w:tcPr>
            <w:tcW w:w="1155" w:type="dxa"/>
            <w:tcBorders>
              <w:top w:val="nil"/>
              <w:right w:val="nil"/>
            </w:tcBorders>
            <w:tcMar>
              <w:top w:w="90" w:type="dxa"/>
              <w:left w:w="180" w:type="dxa"/>
              <w:bottom w:w="90" w:type="dxa"/>
              <w:right w:w="180" w:type="dxa"/>
            </w:tcMar>
            <w:vAlign w:val="center"/>
            <w:hideMark/>
          </w:tcPr>
          <w:p w14:paraId="5241572F" w14:textId="77777777" w:rsidR="00D4499B" w:rsidRPr="00D4499B" w:rsidRDefault="00D4499B" w:rsidP="00D4499B">
            <w:pPr>
              <w:spacing w:after="0" w:line="300" w:lineRule="atLeast"/>
              <w:rPr>
                <w:rFonts w:ascii="Arial" w:eastAsia="Times New Roman" w:hAnsi="Arial" w:cs="Arial"/>
                <w:b/>
                <w:bCs/>
                <w:kern w:val="0"/>
                <w:sz w:val="21"/>
                <w:szCs w:val="21"/>
                <w14:ligatures w14:val="none"/>
              </w:rPr>
            </w:pPr>
            <w:r w:rsidRPr="00D4499B">
              <w:rPr>
                <w:rFonts w:ascii="Arial" w:eastAsia="Times New Roman" w:hAnsi="Arial" w:cs="Arial"/>
                <w:b/>
                <w:bCs/>
                <w:kern w:val="0"/>
                <w:sz w:val="21"/>
                <w:szCs w:val="21"/>
                <w14:ligatures w14:val="none"/>
              </w:rPr>
              <w:t>2025 Growth (YoY)</w:t>
            </w:r>
          </w:p>
        </w:tc>
        <w:tc>
          <w:tcPr>
            <w:tcW w:w="5070" w:type="dxa"/>
            <w:tcBorders>
              <w:top w:val="nil"/>
              <w:right w:val="nil"/>
            </w:tcBorders>
            <w:tcMar>
              <w:top w:w="90" w:type="dxa"/>
              <w:left w:w="180" w:type="dxa"/>
              <w:bottom w:w="90" w:type="dxa"/>
              <w:right w:w="180" w:type="dxa"/>
            </w:tcMar>
            <w:vAlign w:val="center"/>
            <w:hideMark/>
          </w:tcPr>
          <w:p w14:paraId="2FBA86F5" w14:textId="77777777" w:rsidR="00D4499B" w:rsidRPr="00D4499B" w:rsidRDefault="00D4499B" w:rsidP="00D4499B">
            <w:pPr>
              <w:spacing w:after="0" w:line="300" w:lineRule="atLeast"/>
              <w:rPr>
                <w:rFonts w:ascii="Arial" w:eastAsia="Times New Roman" w:hAnsi="Arial" w:cs="Arial"/>
                <w:b/>
                <w:bCs/>
                <w:kern w:val="0"/>
                <w:sz w:val="21"/>
                <w:szCs w:val="21"/>
                <w14:ligatures w14:val="none"/>
              </w:rPr>
            </w:pPr>
            <w:r w:rsidRPr="00D4499B">
              <w:rPr>
                <w:rFonts w:ascii="Arial" w:eastAsia="Times New Roman" w:hAnsi="Arial" w:cs="Arial"/>
                <w:b/>
                <w:bCs/>
                <w:kern w:val="0"/>
                <w:sz w:val="21"/>
                <w:szCs w:val="21"/>
                <w14:ligatures w14:val="none"/>
              </w:rPr>
              <w:t>Key Drivers &amp; Trends</w:t>
            </w:r>
          </w:p>
        </w:tc>
      </w:tr>
      <w:tr w:rsidR="00E4681E" w:rsidRPr="00D4499B" w14:paraId="57B5088C" w14:textId="77777777" w:rsidTr="00A77B80">
        <w:trPr>
          <w:tblCellSpacing w:w="15" w:type="dxa"/>
        </w:trPr>
        <w:tc>
          <w:tcPr>
            <w:tcW w:w="1665" w:type="dxa"/>
            <w:tcBorders>
              <w:right w:val="nil"/>
            </w:tcBorders>
            <w:tcMar>
              <w:top w:w="90" w:type="dxa"/>
              <w:left w:w="180" w:type="dxa"/>
              <w:bottom w:w="90" w:type="dxa"/>
              <w:right w:w="180" w:type="dxa"/>
            </w:tcMar>
            <w:vAlign w:val="center"/>
            <w:hideMark/>
          </w:tcPr>
          <w:p w14:paraId="7F239F52"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South Asia</w:t>
            </w:r>
          </w:p>
        </w:tc>
        <w:tc>
          <w:tcPr>
            <w:tcW w:w="1320" w:type="dxa"/>
            <w:tcBorders>
              <w:right w:val="nil"/>
            </w:tcBorders>
            <w:tcMar>
              <w:top w:w="90" w:type="dxa"/>
              <w:left w:w="180" w:type="dxa"/>
              <w:bottom w:w="90" w:type="dxa"/>
              <w:right w:w="180" w:type="dxa"/>
            </w:tcMar>
            <w:vAlign w:val="center"/>
            <w:hideMark/>
          </w:tcPr>
          <w:p w14:paraId="14A3FE3C"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$210B+</w:t>
            </w:r>
          </w:p>
        </w:tc>
        <w:tc>
          <w:tcPr>
            <w:tcW w:w="1155" w:type="dxa"/>
            <w:tcBorders>
              <w:right w:val="nil"/>
            </w:tcBorders>
            <w:tcMar>
              <w:top w:w="90" w:type="dxa"/>
              <w:left w:w="180" w:type="dxa"/>
              <w:bottom w:w="90" w:type="dxa"/>
              <w:right w:w="180" w:type="dxa"/>
            </w:tcMar>
            <w:vAlign w:val="center"/>
            <w:hideMark/>
          </w:tcPr>
          <w:p w14:paraId="725CF792"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~7–10%</w:t>
            </w:r>
          </w:p>
        </w:tc>
        <w:tc>
          <w:tcPr>
            <w:tcW w:w="5070" w:type="dxa"/>
            <w:tcBorders>
              <w:right w:val="nil"/>
            </w:tcBorders>
            <w:tcMar>
              <w:top w:w="90" w:type="dxa"/>
              <w:left w:w="180" w:type="dxa"/>
              <w:bottom w:w="90" w:type="dxa"/>
              <w:right w:w="180" w:type="dxa"/>
            </w:tcMar>
            <w:vAlign w:val="center"/>
            <w:hideMark/>
          </w:tcPr>
          <w:p w14:paraId="73928995"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India remains the world's top recipient (~$140B). Driven by high-skilled diaspora in the US/Europe and formalization of channels in Pakistan and Bangladesh.[</w:t>
            </w:r>
            <w:hyperlink r:id="rId5" w:tgtFrame="_blank" w:history="1">
              <w:r w:rsidRPr="00D4499B">
                <w:rPr>
                  <w:rFonts w:ascii="Arial" w:eastAsia="Times New Roman" w:hAnsi="Arial" w:cs="Arial"/>
                  <w:color w:val="2483E2"/>
                  <w:kern w:val="0"/>
                  <w:sz w:val="21"/>
                  <w:szCs w:val="21"/>
                  <w14:ligatures w14:val="none"/>
                </w:rPr>
                <w:t>1</w:t>
              </w:r>
            </w:hyperlink>
            <w:r w:rsidRPr="00D4499B">
              <w:rPr>
                <w:rFonts w:ascii="Arial" w:eastAsia="Times New Roman" w:hAnsi="Arial" w:cs="Arial"/>
                <w:kern w:val="0"/>
                <w:sz w:val="21"/>
                <w:szCs w:val="21"/>
                <w14:ligatures w14:val="none"/>
              </w:rPr>
              <w:t>]</w:t>
            </w:r>
          </w:p>
        </w:tc>
      </w:tr>
      <w:tr w:rsidR="00E4681E" w:rsidRPr="00D4499B" w14:paraId="088E00F9" w14:textId="77777777" w:rsidTr="00A77B80">
        <w:trPr>
          <w:tblCellSpacing w:w="15" w:type="dxa"/>
        </w:trPr>
        <w:tc>
          <w:tcPr>
            <w:tcW w:w="1665" w:type="dxa"/>
            <w:tcBorders>
              <w:right w:val="nil"/>
            </w:tcBorders>
            <w:tcMar>
              <w:top w:w="90" w:type="dxa"/>
              <w:left w:w="180" w:type="dxa"/>
              <w:bottom w:w="90" w:type="dxa"/>
              <w:right w:w="180" w:type="dxa"/>
            </w:tcMar>
            <w:vAlign w:val="center"/>
            <w:hideMark/>
          </w:tcPr>
          <w:p w14:paraId="5715C098"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Latin America &amp; Caribbean</w:t>
            </w:r>
          </w:p>
        </w:tc>
        <w:tc>
          <w:tcPr>
            <w:tcW w:w="1320" w:type="dxa"/>
            <w:tcBorders>
              <w:right w:val="nil"/>
            </w:tcBorders>
            <w:tcMar>
              <w:top w:w="90" w:type="dxa"/>
              <w:left w:w="180" w:type="dxa"/>
              <w:bottom w:w="90" w:type="dxa"/>
              <w:right w:w="180" w:type="dxa"/>
            </w:tcMar>
            <w:vAlign w:val="center"/>
            <w:hideMark/>
          </w:tcPr>
          <w:p w14:paraId="788A69F9"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$174.4B</w:t>
            </w:r>
          </w:p>
        </w:tc>
        <w:tc>
          <w:tcPr>
            <w:tcW w:w="1155" w:type="dxa"/>
            <w:tcBorders>
              <w:right w:val="nil"/>
            </w:tcBorders>
            <w:tcMar>
              <w:top w:w="90" w:type="dxa"/>
              <w:left w:w="180" w:type="dxa"/>
              <w:bottom w:w="90" w:type="dxa"/>
              <w:right w:w="180" w:type="dxa"/>
            </w:tcMar>
            <w:vAlign w:val="center"/>
            <w:hideMark/>
          </w:tcPr>
          <w:p w14:paraId="71105EBB"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7.2%</w:t>
            </w:r>
          </w:p>
        </w:tc>
        <w:tc>
          <w:tcPr>
            <w:tcW w:w="5070" w:type="dxa"/>
            <w:tcBorders>
              <w:right w:val="nil"/>
            </w:tcBorders>
            <w:tcMar>
              <w:top w:w="90" w:type="dxa"/>
              <w:left w:w="180" w:type="dxa"/>
              <w:bottom w:w="90" w:type="dxa"/>
              <w:right w:w="180" w:type="dxa"/>
            </w:tcMar>
            <w:vAlign w:val="center"/>
            <w:hideMark/>
          </w:tcPr>
          <w:p w14:paraId="1C0F0DB8"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Record highs for the 16th consecutive year.[</w:t>
            </w:r>
            <w:hyperlink r:id="rId6" w:tgtFrame="_blank" w:history="1">
              <w:r w:rsidRPr="00D4499B">
                <w:rPr>
                  <w:rFonts w:ascii="Arial" w:eastAsia="Times New Roman" w:hAnsi="Arial" w:cs="Arial"/>
                  <w:color w:val="2483E2"/>
                  <w:kern w:val="0"/>
                  <w:sz w:val="21"/>
                  <w:szCs w:val="21"/>
                  <w14:ligatures w14:val="none"/>
                </w:rPr>
                <w:t>2</w:t>
              </w:r>
            </w:hyperlink>
            <w:r w:rsidRPr="00D4499B">
              <w:rPr>
                <w:rFonts w:ascii="Arial" w:eastAsia="Times New Roman" w:hAnsi="Arial" w:cs="Arial"/>
                <w:kern w:val="0"/>
                <w:sz w:val="21"/>
                <w:szCs w:val="21"/>
                <w14:ligatures w14:val="none"/>
              </w:rPr>
              <w:t>][</w:t>
            </w:r>
            <w:hyperlink r:id="rId7" w:tgtFrame="_blank" w:history="1">
              <w:r w:rsidRPr="00D4499B">
                <w:rPr>
                  <w:rFonts w:ascii="Arial" w:eastAsia="Times New Roman" w:hAnsi="Arial" w:cs="Arial"/>
                  <w:color w:val="2483E2"/>
                  <w:kern w:val="0"/>
                  <w:sz w:val="21"/>
                  <w:szCs w:val="21"/>
                  <w14:ligatures w14:val="none"/>
                </w:rPr>
                <w:t>3</w:t>
              </w:r>
            </w:hyperlink>
            <w:r w:rsidRPr="00D4499B">
              <w:rPr>
                <w:rFonts w:ascii="Arial" w:eastAsia="Times New Roman" w:hAnsi="Arial" w:cs="Arial"/>
                <w:kern w:val="0"/>
                <w:sz w:val="21"/>
                <w:szCs w:val="21"/>
                <w14:ligatures w14:val="none"/>
              </w:rPr>
              <w:t>] Central America is the primary engine (+20.4%), while Mexico saw a contraction.</w:t>
            </w:r>
          </w:p>
        </w:tc>
      </w:tr>
      <w:tr w:rsidR="00E4681E" w:rsidRPr="00D4499B" w14:paraId="24DD0B9B" w14:textId="77777777" w:rsidTr="00A77B80">
        <w:trPr>
          <w:tblCellSpacing w:w="15" w:type="dxa"/>
        </w:trPr>
        <w:tc>
          <w:tcPr>
            <w:tcW w:w="1665" w:type="dxa"/>
            <w:tcBorders>
              <w:right w:val="nil"/>
            </w:tcBorders>
            <w:tcMar>
              <w:top w:w="90" w:type="dxa"/>
              <w:left w:w="180" w:type="dxa"/>
              <w:bottom w:w="90" w:type="dxa"/>
              <w:right w:w="180" w:type="dxa"/>
            </w:tcMar>
            <w:vAlign w:val="center"/>
            <w:hideMark/>
          </w:tcPr>
          <w:p w14:paraId="4AC7FB9E"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East Asia &amp; Pacific</w:t>
            </w:r>
          </w:p>
        </w:tc>
        <w:tc>
          <w:tcPr>
            <w:tcW w:w="1320" w:type="dxa"/>
            <w:tcBorders>
              <w:right w:val="nil"/>
            </w:tcBorders>
            <w:tcMar>
              <w:top w:w="90" w:type="dxa"/>
              <w:left w:w="180" w:type="dxa"/>
              <w:bottom w:w="90" w:type="dxa"/>
              <w:right w:w="180" w:type="dxa"/>
            </w:tcMar>
            <w:vAlign w:val="center"/>
            <w:hideMark/>
          </w:tcPr>
          <w:p w14:paraId="750CA7D9"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$140B</w:t>
            </w:r>
          </w:p>
        </w:tc>
        <w:tc>
          <w:tcPr>
            <w:tcW w:w="1155" w:type="dxa"/>
            <w:tcBorders>
              <w:right w:val="nil"/>
            </w:tcBorders>
            <w:tcMar>
              <w:top w:w="90" w:type="dxa"/>
              <w:left w:w="180" w:type="dxa"/>
              <w:bottom w:w="90" w:type="dxa"/>
              <w:right w:w="180" w:type="dxa"/>
            </w:tcMar>
            <w:vAlign w:val="center"/>
            <w:hideMark/>
          </w:tcPr>
          <w:p w14:paraId="01902CAB"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3.0%</w:t>
            </w:r>
          </w:p>
        </w:tc>
        <w:tc>
          <w:tcPr>
            <w:tcW w:w="5070" w:type="dxa"/>
            <w:tcBorders>
              <w:right w:val="nil"/>
            </w:tcBorders>
            <w:tcMar>
              <w:top w:w="90" w:type="dxa"/>
              <w:left w:w="180" w:type="dxa"/>
              <w:bottom w:w="90" w:type="dxa"/>
              <w:right w:w="180" w:type="dxa"/>
            </w:tcMar>
            <w:vAlign w:val="center"/>
            <w:hideMark/>
          </w:tcPr>
          <w:p w14:paraId="130E40EA"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Steady flows to the Philippines and Vietnam. Stagnation in smaller Pacific islands due to easing labor demand in Australia/New Zealand.</w:t>
            </w:r>
          </w:p>
        </w:tc>
      </w:tr>
      <w:tr w:rsidR="00E4681E" w:rsidRPr="00D4499B" w14:paraId="75CCEE1B" w14:textId="77777777" w:rsidTr="00A77B80">
        <w:trPr>
          <w:tblCellSpacing w:w="15" w:type="dxa"/>
        </w:trPr>
        <w:tc>
          <w:tcPr>
            <w:tcW w:w="1665" w:type="dxa"/>
            <w:tcBorders>
              <w:right w:val="nil"/>
            </w:tcBorders>
            <w:tcMar>
              <w:top w:w="90" w:type="dxa"/>
              <w:left w:w="180" w:type="dxa"/>
              <w:bottom w:w="90" w:type="dxa"/>
              <w:right w:w="180" w:type="dxa"/>
            </w:tcMar>
            <w:vAlign w:val="center"/>
            <w:hideMark/>
          </w:tcPr>
          <w:p w14:paraId="4F12F9EF"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Europe &amp; Central Asia</w:t>
            </w:r>
          </w:p>
        </w:tc>
        <w:tc>
          <w:tcPr>
            <w:tcW w:w="1320" w:type="dxa"/>
            <w:tcBorders>
              <w:right w:val="nil"/>
            </w:tcBorders>
            <w:tcMar>
              <w:top w:w="90" w:type="dxa"/>
              <w:left w:w="180" w:type="dxa"/>
              <w:bottom w:w="90" w:type="dxa"/>
              <w:right w:w="180" w:type="dxa"/>
            </w:tcMar>
            <w:vAlign w:val="center"/>
            <w:hideMark/>
          </w:tcPr>
          <w:p w14:paraId="260B25FF"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$85B</w:t>
            </w:r>
          </w:p>
        </w:tc>
        <w:tc>
          <w:tcPr>
            <w:tcW w:w="1155" w:type="dxa"/>
            <w:tcBorders>
              <w:right w:val="nil"/>
            </w:tcBorders>
            <w:tcMar>
              <w:top w:w="90" w:type="dxa"/>
              <w:left w:w="180" w:type="dxa"/>
              <w:bottom w:w="90" w:type="dxa"/>
              <w:right w:w="180" w:type="dxa"/>
            </w:tcMar>
            <w:vAlign w:val="center"/>
            <w:hideMark/>
          </w:tcPr>
          <w:p w14:paraId="14BD7378"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5.0%</w:t>
            </w:r>
          </w:p>
        </w:tc>
        <w:tc>
          <w:tcPr>
            <w:tcW w:w="5070" w:type="dxa"/>
            <w:tcBorders>
              <w:right w:val="nil"/>
            </w:tcBorders>
            <w:tcMar>
              <w:top w:w="90" w:type="dxa"/>
              <w:left w:w="180" w:type="dxa"/>
              <w:bottom w:w="90" w:type="dxa"/>
              <w:right w:w="180" w:type="dxa"/>
            </w:tcMar>
            <w:vAlign w:val="center"/>
            <w:hideMark/>
          </w:tcPr>
          <w:p w14:paraId="43036F2D"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Record highs in Central Asia (Tajikistan, Kyrgyzstan) due to high wages in Russia and ruble appreciation, offsetting continued weakness in Ukraine.</w:t>
            </w:r>
          </w:p>
        </w:tc>
      </w:tr>
      <w:tr w:rsidR="00E4681E" w:rsidRPr="00D4499B" w14:paraId="7E4971FE" w14:textId="77777777" w:rsidTr="00A77B80">
        <w:trPr>
          <w:tblCellSpacing w:w="15" w:type="dxa"/>
        </w:trPr>
        <w:tc>
          <w:tcPr>
            <w:tcW w:w="1665" w:type="dxa"/>
            <w:tcBorders>
              <w:right w:val="nil"/>
            </w:tcBorders>
            <w:tcMar>
              <w:top w:w="90" w:type="dxa"/>
              <w:left w:w="180" w:type="dxa"/>
              <w:bottom w:w="90" w:type="dxa"/>
              <w:right w:w="180" w:type="dxa"/>
            </w:tcMar>
            <w:vAlign w:val="center"/>
            <w:hideMark/>
          </w:tcPr>
          <w:p w14:paraId="51D77D11"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Middle East &amp; North Africa</w:t>
            </w:r>
          </w:p>
        </w:tc>
        <w:tc>
          <w:tcPr>
            <w:tcW w:w="1320" w:type="dxa"/>
            <w:tcBorders>
              <w:right w:val="nil"/>
            </w:tcBorders>
            <w:tcMar>
              <w:top w:w="90" w:type="dxa"/>
              <w:left w:w="180" w:type="dxa"/>
              <w:bottom w:w="90" w:type="dxa"/>
              <w:right w:w="180" w:type="dxa"/>
            </w:tcMar>
            <w:vAlign w:val="center"/>
            <w:hideMark/>
          </w:tcPr>
          <w:p w14:paraId="52E5C75F"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$60B</w:t>
            </w:r>
          </w:p>
        </w:tc>
        <w:tc>
          <w:tcPr>
            <w:tcW w:w="1155" w:type="dxa"/>
            <w:tcBorders>
              <w:right w:val="nil"/>
            </w:tcBorders>
            <w:tcMar>
              <w:top w:w="90" w:type="dxa"/>
              <w:left w:w="180" w:type="dxa"/>
              <w:bottom w:w="90" w:type="dxa"/>
              <w:right w:w="180" w:type="dxa"/>
            </w:tcMar>
            <w:vAlign w:val="center"/>
            <w:hideMark/>
          </w:tcPr>
          <w:p w14:paraId="541E6B51"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5.5%</w:t>
            </w:r>
          </w:p>
        </w:tc>
        <w:tc>
          <w:tcPr>
            <w:tcW w:w="5070" w:type="dxa"/>
            <w:tcBorders>
              <w:right w:val="nil"/>
            </w:tcBorders>
            <w:tcMar>
              <w:top w:w="90" w:type="dxa"/>
              <w:left w:w="180" w:type="dxa"/>
              <w:bottom w:w="90" w:type="dxa"/>
              <w:right w:w="180" w:type="dxa"/>
            </w:tcMar>
            <w:vAlign w:val="center"/>
            <w:hideMark/>
          </w:tcPr>
          <w:p w14:paraId="2E07DA2B"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Significant recovery in Egypt following exchange rate unification. Volatility in Lebanon due to regional conflict.</w:t>
            </w:r>
          </w:p>
        </w:tc>
      </w:tr>
      <w:tr w:rsidR="00E4681E" w:rsidRPr="00D4499B" w14:paraId="39EA16C4" w14:textId="77777777" w:rsidTr="00A77B80">
        <w:trPr>
          <w:tblCellSpacing w:w="15" w:type="dxa"/>
        </w:trPr>
        <w:tc>
          <w:tcPr>
            <w:tcW w:w="1665" w:type="dxa"/>
            <w:tcBorders>
              <w:right w:val="nil"/>
            </w:tcBorders>
            <w:tcMar>
              <w:top w:w="90" w:type="dxa"/>
              <w:left w:w="180" w:type="dxa"/>
              <w:bottom w:w="90" w:type="dxa"/>
              <w:right w:w="180" w:type="dxa"/>
            </w:tcMar>
            <w:vAlign w:val="center"/>
            <w:hideMark/>
          </w:tcPr>
          <w:p w14:paraId="62A71D53"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Sub-Saharan Africa</w:t>
            </w:r>
          </w:p>
        </w:tc>
        <w:tc>
          <w:tcPr>
            <w:tcW w:w="1320" w:type="dxa"/>
            <w:tcBorders>
              <w:right w:val="nil"/>
            </w:tcBorders>
            <w:tcMar>
              <w:top w:w="90" w:type="dxa"/>
              <w:left w:w="180" w:type="dxa"/>
              <w:bottom w:w="90" w:type="dxa"/>
              <w:right w:w="180" w:type="dxa"/>
            </w:tcMar>
            <w:vAlign w:val="center"/>
            <w:hideMark/>
          </w:tcPr>
          <w:p w14:paraId="401CE353"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$55B</w:t>
            </w:r>
          </w:p>
        </w:tc>
        <w:tc>
          <w:tcPr>
            <w:tcW w:w="1155" w:type="dxa"/>
            <w:tcBorders>
              <w:right w:val="nil"/>
            </w:tcBorders>
            <w:tcMar>
              <w:top w:w="90" w:type="dxa"/>
              <w:left w:w="180" w:type="dxa"/>
              <w:bottom w:w="90" w:type="dxa"/>
              <w:right w:w="180" w:type="dxa"/>
            </w:tcMar>
            <w:vAlign w:val="center"/>
            <w:hideMark/>
          </w:tcPr>
          <w:p w14:paraId="2F49CFC1"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1.5%</w:t>
            </w:r>
          </w:p>
        </w:tc>
        <w:tc>
          <w:tcPr>
            <w:tcW w:w="5070" w:type="dxa"/>
            <w:tcBorders>
              <w:right w:val="nil"/>
            </w:tcBorders>
            <w:tcMar>
              <w:top w:w="90" w:type="dxa"/>
              <w:left w:w="180" w:type="dxa"/>
              <w:bottom w:w="90" w:type="dxa"/>
              <w:right w:w="180" w:type="dxa"/>
            </w:tcMar>
            <w:vAlign w:val="center"/>
            <w:hideMark/>
          </w:tcPr>
          <w:p w14:paraId="3DB3E878"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Volatile flows. Nigeria remains the leader but faced a softening Q1. High transaction costs (9%) remain a major barrier.</w:t>
            </w:r>
          </w:p>
        </w:tc>
      </w:tr>
    </w:tbl>
    <w:p w14:paraId="64782881" w14:textId="77777777" w:rsidR="00D4499B" w:rsidRPr="00D4499B" w:rsidRDefault="00000000" w:rsidP="00D4499B">
      <w:pPr>
        <w:spacing w:before="240" w:after="24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3BB496F">
          <v:rect id="_x0000_i1025" style="width:712.8pt;height:1.5pt" o:hrpct="0" o:hralign="center" o:hrstd="t" o:hr="t" fillcolor="#a0a0a0" stroked="f"/>
        </w:pict>
      </w:r>
    </w:p>
    <w:p w14:paraId="63EECAE5" w14:textId="77777777" w:rsidR="00D4499B" w:rsidRDefault="00D4499B" w:rsidP="00D4499B">
      <w:pPr>
        <w:spacing w:after="270" w:line="240" w:lineRule="auto"/>
        <w:outlineLvl w:val="2"/>
        <w:rPr>
          <w:rFonts w:ascii="Times New Roman" w:eastAsia="Times New Roman" w:hAnsi="Times New Roman" w:cs="Times New Roman"/>
          <w:b/>
          <w:bCs/>
          <w:kern w:val="0"/>
          <w:sz w:val="27"/>
          <w:szCs w:val="27"/>
          <w14:ligatures w14:val="none"/>
        </w:rPr>
      </w:pPr>
    </w:p>
    <w:p w14:paraId="70B6CBC1" w14:textId="4DAC3EB7" w:rsidR="00D4499B" w:rsidRPr="00D4499B" w:rsidRDefault="00D4499B" w:rsidP="00D4499B">
      <w:pPr>
        <w:spacing w:after="270" w:line="240" w:lineRule="auto"/>
        <w:outlineLvl w:val="2"/>
        <w:rPr>
          <w:rFonts w:ascii="Times New Roman" w:eastAsia="Times New Roman" w:hAnsi="Times New Roman" w:cs="Times New Roman"/>
          <w:b/>
          <w:bCs/>
          <w:kern w:val="0"/>
          <w:sz w:val="27"/>
          <w:szCs w:val="27"/>
          <w14:ligatures w14:val="none"/>
        </w:rPr>
      </w:pPr>
      <w:r w:rsidRPr="00D4499B">
        <w:rPr>
          <w:rFonts w:ascii="Times New Roman" w:eastAsia="Times New Roman" w:hAnsi="Times New Roman" w:cs="Times New Roman"/>
          <w:b/>
          <w:bCs/>
          <w:kern w:val="0"/>
          <w:sz w:val="27"/>
          <w:szCs w:val="27"/>
          <w14:ligatures w14:val="none"/>
        </w:rPr>
        <w:lastRenderedPageBreak/>
        <w:t>Key 2025 Drivers by Region</w:t>
      </w:r>
    </w:p>
    <w:p w14:paraId="2FB3A4B9" w14:textId="77777777" w:rsidR="00D4499B" w:rsidRPr="00D4499B" w:rsidRDefault="00D4499B" w:rsidP="00D4499B">
      <w:pPr>
        <w:spacing w:after="0" w:line="240" w:lineRule="auto"/>
        <w:outlineLvl w:val="3"/>
        <w:rPr>
          <w:rFonts w:ascii="Times New Roman" w:eastAsia="Times New Roman" w:hAnsi="Times New Roman" w:cs="Times New Roman"/>
          <w:b/>
          <w:bCs/>
          <w:kern w:val="0"/>
          <w14:ligatures w14:val="none"/>
        </w:rPr>
      </w:pPr>
      <w:r w:rsidRPr="00D4499B">
        <w:rPr>
          <w:rFonts w:ascii="Times New Roman" w:eastAsia="Times New Roman" w:hAnsi="Times New Roman" w:cs="Times New Roman"/>
          <w:b/>
          <w:bCs/>
          <w:kern w:val="0"/>
          <w14:ligatures w14:val="none"/>
        </w:rPr>
        <w:t>1. Latin America: The "Precautionary" Surge</w:t>
      </w:r>
    </w:p>
    <w:p w14:paraId="19C31F8E" w14:textId="77777777" w:rsidR="00D4499B" w:rsidRPr="00D4499B" w:rsidRDefault="00D4499B" w:rsidP="00D4499B">
      <w:pPr>
        <w:spacing w:before="100" w:beforeAutospacing="1" w:after="27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Central American countries (Guatemala, Honduras, Nicaragua) saw massive growth in 2025.[</w:t>
      </w:r>
      <w:hyperlink r:id="rId8" w:tgtFrame="_blank" w:history="1">
        <w:r w:rsidRPr="00D4499B">
          <w:rPr>
            <w:rFonts w:ascii="Arial" w:eastAsia="Times New Roman" w:hAnsi="Arial" w:cs="Arial"/>
            <w:color w:val="2483E2"/>
            <w:kern w:val="0"/>
            <w:sz w:val="21"/>
            <w:szCs w:val="21"/>
            <w14:ligatures w14:val="none"/>
          </w:rPr>
          <w:t>2</w:t>
        </w:r>
      </w:hyperlink>
      <w:r w:rsidRPr="00D4499B">
        <w:rPr>
          <w:rFonts w:ascii="Arial" w:eastAsia="Times New Roman" w:hAnsi="Arial" w:cs="Arial"/>
          <w:kern w:val="0"/>
          <w:sz w:val="21"/>
          <w:szCs w:val="21"/>
          <w14:ligatures w14:val="none"/>
        </w:rPr>
        <w:t>]</w:t>
      </w:r>
    </w:p>
    <w:p w14:paraId="6D9E55F6" w14:textId="77777777" w:rsidR="00D4499B" w:rsidRPr="00D4499B" w:rsidRDefault="00D4499B" w:rsidP="00D4499B">
      <w:pPr>
        <w:numPr>
          <w:ilvl w:val="0"/>
          <w:numId w:val="3"/>
        </w:numPr>
        <w:spacing w:after="45"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Deportation Risk:</w:t>
      </w:r>
      <w:r w:rsidRPr="00D4499B">
        <w:rPr>
          <w:rFonts w:ascii="Arial" w:eastAsia="Times New Roman" w:hAnsi="Arial" w:cs="Arial"/>
          <w:kern w:val="0"/>
          <w:sz w:val="21"/>
          <w:szCs w:val="21"/>
          <w14:ligatures w14:val="none"/>
        </w:rPr>
        <w:t> Tighter U.S. migration policies prompted many migrants to send "extraordinary" transfers—dipping into savings to send money home as a precaution against possible deportation.</w:t>
      </w:r>
    </w:p>
    <w:p w14:paraId="6E54B43A" w14:textId="77777777" w:rsidR="00D4499B" w:rsidRPr="00D4499B" w:rsidRDefault="00D4499B" w:rsidP="00D4499B">
      <w:pPr>
        <w:numPr>
          <w:ilvl w:val="0"/>
          <w:numId w:val="3"/>
        </w:numPr>
        <w:spacing w:after="45"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The Mexico Exception:</w:t>
      </w:r>
      <w:r w:rsidRPr="00D4499B">
        <w:rPr>
          <w:rFonts w:ascii="Arial" w:eastAsia="Times New Roman" w:hAnsi="Arial" w:cs="Arial"/>
          <w:kern w:val="0"/>
          <w:sz w:val="21"/>
          <w:szCs w:val="21"/>
          <w14:ligatures w14:val="none"/>
        </w:rPr>
        <w:t> Remittance flows to Mexico declined by approximately </w:t>
      </w:r>
      <w:r w:rsidRPr="00D4499B">
        <w:rPr>
          <w:rFonts w:ascii="Arial" w:eastAsia="Times New Roman" w:hAnsi="Arial" w:cs="Arial"/>
          <w:b/>
          <w:bCs/>
          <w:kern w:val="0"/>
          <w:sz w:val="21"/>
          <w:szCs w:val="21"/>
          <w14:ligatures w14:val="none"/>
        </w:rPr>
        <w:t>4.5%</w:t>
      </w:r>
      <w:r w:rsidRPr="00D4499B">
        <w:rPr>
          <w:rFonts w:ascii="Arial" w:eastAsia="Times New Roman" w:hAnsi="Arial" w:cs="Arial"/>
          <w:kern w:val="0"/>
          <w:sz w:val="21"/>
          <w:szCs w:val="21"/>
          <w14:ligatures w14:val="none"/>
        </w:rPr>
        <w:t> in 2025 ($61.8B) following an exceptionally strong 2024, reflecting fewer new arrivals and a shift in sending patterns.</w:t>
      </w:r>
    </w:p>
    <w:p w14:paraId="42930AA2" w14:textId="77777777" w:rsidR="00D4499B" w:rsidRPr="00D4499B" w:rsidRDefault="00D4499B" w:rsidP="00D4499B">
      <w:pPr>
        <w:spacing w:after="0" w:line="240" w:lineRule="auto"/>
        <w:outlineLvl w:val="3"/>
        <w:rPr>
          <w:rFonts w:ascii="Times New Roman" w:eastAsia="Times New Roman" w:hAnsi="Times New Roman" w:cs="Times New Roman"/>
          <w:b/>
          <w:bCs/>
          <w:kern w:val="0"/>
          <w14:ligatures w14:val="none"/>
        </w:rPr>
      </w:pPr>
      <w:r w:rsidRPr="00D4499B">
        <w:rPr>
          <w:rFonts w:ascii="Times New Roman" w:eastAsia="Times New Roman" w:hAnsi="Times New Roman" w:cs="Times New Roman"/>
          <w:b/>
          <w:bCs/>
          <w:kern w:val="0"/>
          <w14:ligatures w14:val="none"/>
        </w:rPr>
        <w:t>2. South Asia: The High-Skill Advantage</w:t>
      </w:r>
    </w:p>
    <w:p w14:paraId="1E0BC28B" w14:textId="77777777" w:rsidR="00D4499B" w:rsidRPr="00D4499B" w:rsidRDefault="00D4499B" w:rsidP="00D4499B">
      <w:pPr>
        <w:spacing w:before="100" w:beforeAutospacing="1" w:after="27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India continues to dominate, benefiting from its high-skilled diaspora in Science, Tech, and Healthcare.[</w:t>
      </w:r>
      <w:hyperlink r:id="rId9" w:tgtFrame="_blank" w:history="1">
        <w:r w:rsidRPr="00D4499B">
          <w:rPr>
            <w:rFonts w:ascii="Arial" w:eastAsia="Times New Roman" w:hAnsi="Arial" w:cs="Arial"/>
            <w:color w:val="2483E2"/>
            <w:kern w:val="0"/>
            <w:sz w:val="21"/>
            <w:szCs w:val="21"/>
            <w14:ligatures w14:val="none"/>
          </w:rPr>
          <w:t>1</w:t>
        </w:r>
      </w:hyperlink>
      <w:r w:rsidRPr="00D4499B">
        <w:rPr>
          <w:rFonts w:ascii="Arial" w:eastAsia="Times New Roman" w:hAnsi="Arial" w:cs="Arial"/>
          <w:kern w:val="0"/>
          <w:sz w:val="21"/>
          <w:szCs w:val="21"/>
          <w14:ligatures w14:val="none"/>
        </w:rPr>
        <w:t>]</w:t>
      </w:r>
    </w:p>
    <w:p w14:paraId="4433123B" w14:textId="77777777" w:rsidR="00D4499B" w:rsidRPr="00D4499B" w:rsidRDefault="00D4499B" w:rsidP="00D4499B">
      <w:pPr>
        <w:numPr>
          <w:ilvl w:val="0"/>
          <w:numId w:val="4"/>
        </w:numPr>
        <w:spacing w:after="45"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Formalization:</w:t>
      </w:r>
      <w:r w:rsidRPr="00D4499B">
        <w:rPr>
          <w:rFonts w:ascii="Arial" w:eastAsia="Times New Roman" w:hAnsi="Arial" w:cs="Arial"/>
          <w:kern w:val="0"/>
          <w:sz w:val="21"/>
          <w:szCs w:val="21"/>
          <w14:ligatures w14:val="none"/>
        </w:rPr>
        <w:t> Bangladesh and Pakistan saw double-digit growth in formal inflows as governments successfully cracked down on informal "hundi" or "hawala" systems, redirecting billions into the official banking network.</w:t>
      </w:r>
    </w:p>
    <w:p w14:paraId="764F4310" w14:textId="77777777" w:rsidR="00D4499B" w:rsidRPr="00D4499B" w:rsidRDefault="00D4499B" w:rsidP="00D4499B">
      <w:pPr>
        <w:spacing w:after="0" w:line="240" w:lineRule="auto"/>
        <w:outlineLvl w:val="3"/>
        <w:rPr>
          <w:rFonts w:ascii="Times New Roman" w:eastAsia="Times New Roman" w:hAnsi="Times New Roman" w:cs="Times New Roman"/>
          <w:b/>
          <w:bCs/>
          <w:kern w:val="0"/>
          <w14:ligatures w14:val="none"/>
        </w:rPr>
      </w:pPr>
      <w:r w:rsidRPr="00D4499B">
        <w:rPr>
          <w:rFonts w:ascii="Times New Roman" w:eastAsia="Times New Roman" w:hAnsi="Times New Roman" w:cs="Times New Roman"/>
          <w:b/>
          <w:bCs/>
          <w:kern w:val="0"/>
          <w14:ligatures w14:val="none"/>
        </w:rPr>
        <w:t>3. Europe &amp; Central Asia: The Russia-Central Asia Link</w:t>
      </w:r>
    </w:p>
    <w:p w14:paraId="59CCB0A7" w14:textId="77777777" w:rsidR="00D4499B" w:rsidRPr="00D4499B" w:rsidRDefault="00D4499B" w:rsidP="00D4499B">
      <w:pPr>
        <w:spacing w:before="100" w:beforeAutospacing="1" w:after="27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Despite Western sanctions, remittances to Central Asian countries reached record highs in 1H 2025.</w:t>
      </w:r>
    </w:p>
    <w:p w14:paraId="1CA1C99E" w14:textId="77777777" w:rsidR="00D4499B" w:rsidRPr="00D4499B" w:rsidRDefault="00D4499B" w:rsidP="00D4499B">
      <w:pPr>
        <w:numPr>
          <w:ilvl w:val="0"/>
          <w:numId w:val="5"/>
        </w:numPr>
        <w:spacing w:after="45"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Russian Labor Market:</w:t>
      </w:r>
      <w:r w:rsidRPr="00D4499B">
        <w:rPr>
          <w:rFonts w:ascii="Arial" w:eastAsia="Times New Roman" w:hAnsi="Arial" w:cs="Arial"/>
          <w:kern w:val="0"/>
          <w:sz w:val="21"/>
          <w:szCs w:val="21"/>
          <w14:ligatures w14:val="none"/>
        </w:rPr>
        <w:t> Labor shortages in Russia led to rising nominal wages for migrants. The appreciation of the ruble in early 2025 further boosted the dollar value of these transfers to countries like Tajikistan (where remittances are ~45% of GDP).</w:t>
      </w:r>
    </w:p>
    <w:p w14:paraId="05C068CD" w14:textId="77777777" w:rsidR="00D4499B" w:rsidRPr="00D4499B" w:rsidRDefault="00D4499B" w:rsidP="00D4499B">
      <w:pPr>
        <w:spacing w:after="0" w:line="240" w:lineRule="auto"/>
        <w:outlineLvl w:val="3"/>
        <w:rPr>
          <w:rFonts w:ascii="Times New Roman" w:eastAsia="Times New Roman" w:hAnsi="Times New Roman" w:cs="Times New Roman"/>
          <w:b/>
          <w:bCs/>
          <w:kern w:val="0"/>
          <w14:ligatures w14:val="none"/>
        </w:rPr>
      </w:pPr>
      <w:r w:rsidRPr="00D4499B">
        <w:rPr>
          <w:rFonts w:ascii="Times New Roman" w:eastAsia="Times New Roman" w:hAnsi="Times New Roman" w:cs="Times New Roman"/>
          <w:b/>
          <w:bCs/>
          <w:kern w:val="0"/>
          <w14:ligatures w14:val="none"/>
        </w:rPr>
        <w:t>4. Sub-Saharan Africa: The Cost Burden</w:t>
      </w:r>
    </w:p>
    <w:p w14:paraId="41812F01" w14:textId="77777777" w:rsidR="00D4499B" w:rsidRPr="00D4499B" w:rsidRDefault="00D4499B" w:rsidP="00D4499B">
      <w:pPr>
        <w:spacing w:before="100" w:beforeAutospacing="1" w:after="27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While flows have stabilized, SSA remains the most expensive region for transfers.[</w:t>
      </w:r>
      <w:hyperlink r:id="rId10" w:tgtFrame="_blank" w:history="1">
        <w:r w:rsidRPr="00D4499B">
          <w:rPr>
            <w:rFonts w:ascii="Arial" w:eastAsia="Times New Roman" w:hAnsi="Arial" w:cs="Arial"/>
            <w:color w:val="2483E2"/>
            <w:kern w:val="0"/>
            <w:sz w:val="21"/>
            <w:szCs w:val="21"/>
            <w14:ligatures w14:val="none"/>
          </w:rPr>
          <w:t>4</w:t>
        </w:r>
      </w:hyperlink>
      <w:r w:rsidRPr="00D4499B">
        <w:rPr>
          <w:rFonts w:ascii="Arial" w:eastAsia="Times New Roman" w:hAnsi="Arial" w:cs="Arial"/>
          <w:kern w:val="0"/>
          <w:sz w:val="21"/>
          <w:szCs w:val="21"/>
          <w14:ligatures w14:val="none"/>
        </w:rPr>
        <w:t>]</w:t>
      </w:r>
    </w:p>
    <w:p w14:paraId="13F50B7D" w14:textId="77777777" w:rsidR="00D4499B" w:rsidRPr="00D4499B" w:rsidRDefault="00D4499B" w:rsidP="00D4499B">
      <w:pPr>
        <w:numPr>
          <w:ilvl w:val="0"/>
          <w:numId w:val="6"/>
        </w:numPr>
        <w:spacing w:after="45"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Transaction Costs:</w:t>
      </w:r>
      <w:r w:rsidRPr="00D4499B">
        <w:rPr>
          <w:rFonts w:ascii="Arial" w:eastAsia="Times New Roman" w:hAnsi="Arial" w:cs="Arial"/>
          <w:kern w:val="0"/>
          <w:sz w:val="21"/>
          <w:szCs w:val="21"/>
          <w14:ligatures w14:val="none"/>
        </w:rPr>
        <w:t> Sending $200 to Africa still costs an average of </w:t>
      </w:r>
      <w:r w:rsidRPr="00D4499B">
        <w:rPr>
          <w:rFonts w:ascii="Arial" w:eastAsia="Times New Roman" w:hAnsi="Arial" w:cs="Arial"/>
          <w:b/>
          <w:bCs/>
          <w:kern w:val="0"/>
          <w:sz w:val="21"/>
          <w:szCs w:val="21"/>
          <w14:ligatures w14:val="none"/>
        </w:rPr>
        <w:t>8.8% to 9%</w:t>
      </w:r>
      <w:r w:rsidRPr="00D4499B">
        <w:rPr>
          <w:rFonts w:ascii="Arial" w:eastAsia="Times New Roman" w:hAnsi="Arial" w:cs="Arial"/>
          <w:kern w:val="0"/>
          <w:sz w:val="21"/>
          <w:szCs w:val="21"/>
          <w14:ligatures w14:val="none"/>
        </w:rPr>
        <w:t>, far above the UN’s Sustainable Development Goal target of 3%.[</w:t>
      </w:r>
      <w:hyperlink r:id="rId11" w:tgtFrame="_blank" w:history="1">
        <w:r w:rsidRPr="00D4499B">
          <w:rPr>
            <w:rFonts w:ascii="Arial" w:eastAsia="Times New Roman" w:hAnsi="Arial" w:cs="Arial"/>
            <w:color w:val="2483E2"/>
            <w:kern w:val="0"/>
            <w:sz w:val="21"/>
            <w:szCs w:val="21"/>
            <w14:ligatures w14:val="none"/>
          </w:rPr>
          <w:t>1</w:t>
        </w:r>
      </w:hyperlink>
      <w:r w:rsidRPr="00D4499B">
        <w:rPr>
          <w:rFonts w:ascii="Arial" w:eastAsia="Times New Roman" w:hAnsi="Arial" w:cs="Arial"/>
          <w:kern w:val="0"/>
          <w:sz w:val="21"/>
          <w:szCs w:val="21"/>
          <w14:ligatures w14:val="none"/>
        </w:rPr>
        <w:t>]</w:t>
      </w:r>
    </w:p>
    <w:p w14:paraId="3AC670E2" w14:textId="77777777" w:rsidR="00D4499B" w:rsidRPr="00D4499B" w:rsidRDefault="00D4499B" w:rsidP="00D4499B">
      <w:pPr>
        <w:numPr>
          <w:ilvl w:val="0"/>
          <w:numId w:val="6"/>
        </w:numPr>
        <w:spacing w:after="45"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The "Trump Tax" Concern:</w:t>
      </w:r>
      <w:r w:rsidRPr="00D4499B">
        <w:rPr>
          <w:rFonts w:ascii="Arial" w:eastAsia="Times New Roman" w:hAnsi="Arial" w:cs="Arial"/>
          <w:kern w:val="0"/>
          <w:sz w:val="21"/>
          <w:szCs w:val="21"/>
          <w14:ligatures w14:val="none"/>
        </w:rPr>
        <w:t> Proposed levies on outward remittances from the U.S. began impacting sending sentiment in late 2025, particularly for Nigerian and Kenyan diasporas.</w:t>
      </w:r>
    </w:p>
    <w:p w14:paraId="69E569F6" w14:textId="77777777" w:rsidR="00D4499B" w:rsidRPr="00D4499B" w:rsidRDefault="00D4499B" w:rsidP="00D4499B">
      <w:pPr>
        <w:spacing w:after="0" w:line="240" w:lineRule="auto"/>
        <w:outlineLvl w:val="2"/>
        <w:rPr>
          <w:rFonts w:ascii="Times New Roman" w:eastAsia="Times New Roman" w:hAnsi="Times New Roman" w:cs="Times New Roman"/>
          <w:b/>
          <w:bCs/>
          <w:kern w:val="0"/>
          <w:sz w:val="27"/>
          <w:szCs w:val="27"/>
          <w14:ligatures w14:val="none"/>
        </w:rPr>
      </w:pPr>
      <w:r w:rsidRPr="00D4499B">
        <w:rPr>
          <w:rFonts w:ascii="Times New Roman" w:eastAsia="Times New Roman" w:hAnsi="Times New Roman" w:cs="Times New Roman"/>
          <w:b/>
          <w:bCs/>
          <w:kern w:val="0"/>
          <w:sz w:val="27"/>
          <w:szCs w:val="27"/>
          <w14:ligatures w14:val="none"/>
        </w:rPr>
        <w:t>2025 Global Highlights</w:t>
      </w:r>
    </w:p>
    <w:p w14:paraId="211EF6BC" w14:textId="77777777" w:rsidR="00D4499B" w:rsidRPr="00D4499B" w:rsidRDefault="00D4499B" w:rsidP="00D4499B">
      <w:pPr>
        <w:numPr>
          <w:ilvl w:val="0"/>
          <w:numId w:val="7"/>
        </w:numPr>
        <w:spacing w:after="45"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Remittances vs. FDI:</w:t>
      </w:r>
      <w:r w:rsidRPr="00D4499B">
        <w:rPr>
          <w:rFonts w:ascii="Arial" w:eastAsia="Times New Roman" w:hAnsi="Arial" w:cs="Arial"/>
          <w:kern w:val="0"/>
          <w:sz w:val="21"/>
          <w:szCs w:val="21"/>
          <w14:ligatures w14:val="none"/>
        </w:rPr>
        <w:t> For the majority of LMICs, remittances now exceed the combined value of Foreign Direct Investment (FDI) and Official Development Assistance (ODA).[</w:t>
      </w:r>
      <w:hyperlink r:id="rId12" w:tgtFrame="_blank" w:history="1">
        <w:r w:rsidRPr="00D4499B">
          <w:rPr>
            <w:rFonts w:ascii="Arial" w:eastAsia="Times New Roman" w:hAnsi="Arial" w:cs="Arial"/>
            <w:color w:val="2483E2"/>
            <w:kern w:val="0"/>
            <w:sz w:val="21"/>
            <w:szCs w:val="21"/>
            <w14:ligatures w14:val="none"/>
          </w:rPr>
          <w:t>5</w:t>
        </w:r>
      </w:hyperlink>
      <w:r w:rsidRPr="00D4499B">
        <w:rPr>
          <w:rFonts w:ascii="Arial" w:eastAsia="Times New Roman" w:hAnsi="Arial" w:cs="Arial"/>
          <w:kern w:val="0"/>
          <w:sz w:val="21"/>
          <w:szCs w:val="21"/>
          <w14:ligatures w14:val="none"/>
        </w:rPr>
        <w:t>]</w:t>
      </w:r>
    </w:p>
    <w:p w14:paraId="3584960B" w14:textId="77777777" w:rsidR="00D4499B" w:rsidRPr="00D4499B" w:rsidRDefault="00D4499B" w:rsidP="00D4499B">
      <w:pPr>
        <w:shd w:val="clear" w:color="auto" w:fill="FFFFFF"/>
        <w:spacing w:after="270" w:line="300" w:lineRule="atLeast"/>
        <w:rPr>
          <w:rFonts w:ascii="Arial" w:eastAsia="Times New Roman" w:hAnsi="Arial" w:cs="Arial"/>
          <w:color w:val="1A1C1E"/>
          <w:kern w:val="0"/>
          <w:sz w:val="21"/>
          <w:szCs w:val="21"/>
          <w14:ligatures w14:val="none"/>
        </w:rPr>
      </w:pPr>
      <w:r w:rsidRPr="00D4499B">
        <w:rPr>
          <w:rFonts w:ascii="Arial" w:eastAsia="Times New Roman" w:hAnsi="Arial" w:cs="Arial"/>
          <w:color w:val="1A1C1E"/>
          <w:kern w:val="0"/>
          <w:sz w:val="21"/>
          <w:szCs w:val="21"/>
          <w14:ligatures w14:val="none"/>
        </w:rPr>
        <w:t>Based on the World Bank’s </w:t>
      </w:r>
      <w:r w:rsidRPr="00D4499B">
        <w:rPr>
          <w:rFonts w:ascii="Arial" w:eastAsia="Times New Roman" w:hAnsi="Arial" w:cs="Arial"/>
          <w:i/>
          <w:iCs/>
          <w:color w:val="1A1C1E"/>
          <w:kern w:val="0"/>
          <w:sz w:val="21"/>
          <w:szCs w:val="21"/>
          <w14:ligatures w14:val="none"/>
        </w:rPr>
        <w:t>Migration and Development Brief</w:t>
      </w:r>
      <w:r w:rsidRPr="00D4499B">
        <w:rPr>
          <w:rFonts w:ascii="Arial" w:eastAsia="Times New Roman" w:hAnsi="Arial" w:cs="Arial"/>
          <w:color w:val="1A1C1E"/>
          <w:kern w:val="0"/>
          <w:sz w:val="21"/>
          <w:szCs w:val="21"/>
          <w14:ligatures w14:val="none"/>
        </w:rPr>
        <w:t> and end-of-year 2025 estimates, private remittance flows to Low- and Middle-Income Countries (LMICs) reached a record </w:t>
      </w:r>
      <w:r w:rsidRPr="00D4499B">
        <w:rPr>
          <w:rFonts w:ascii="Arial" w:eastAsia="Times New Roman" w:hAnsi="Arial" w:cs="Arial"/>
          <w:b/>
          <w:bCs/>
          <w:color w:val="1A1C1E"/>
          <w:kern w:val="0"/>
          <w:sz w:val="21"/>
          <w:szCs w:val="21"/>
          <w14:ligatures w14:val="none"/>
        </w:rPr>
        <w:t>$695 billion</w:t>
      </w:r>
      <w:r w:rsidRPr="00D4499B">
        <w:rPr>
          <w:rFonts w:ascii="Arial" w:eastAsia="Times New Roman" w:hAnsi="Arial" w:cs="Arial"/>
          <w:color w:val="1A1C1E"/>
          <w:kern w:val="0"/>
          <w:sz w:val="21"/>
          <w:szCs w:val="21"/>
          <w14:ligatures w14:val="none"/>
        </w:rPr>
        <w:t> in 2025.</w:t>
      </w:r>
    </w:p>
    <w:p w14:paraId="3A7CF1B3" w14:textId="77777777" w:rsidR="00D4499B" w:rsidRPr="00D4499B" w:rsidRDefault="00D4499B" w:rsidP="00D4499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D4499B">
        <w:rPr>
          <w:rFonts w:ascii="Arial" w:eastAsia="Times New Roman" w:hAnsi="Arial" w:cs="Arial"/>
          <w:color w:val="1A1C1E"/>
          <w:kern w:val="0"/>
          <w:sz w:val="21"/>
          <w:szCs w:val="21"/>
          <w14:ligatures w14:val="none"/>
        </w:rPr>
        <w:t>Here are the top 10 recipient countries for 2025, ranked by the total US dollar value of inflows.</w:t>
      </w:r>
    </w:p>
    <w:p w14:paraId="6651215D" w14:textId="77777777" w:rsidR="00D4499B" w:rsidRDefault="00D4499B" w:rsidP="00D4499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D4499B">
        <w:rPr>
          <w:rFonts w:ascii="Arial" w:eastAsia="Times New Roman" w:hAnsi="Arial" w:cs="Arial"/>
          <w:b/>
          <w:bCs/>
          <w:color w:val="1A1C1E"/>
          <w:kern w:val="0"/>
          <w:sz w:val="27"/>
          <w:szCs w:val="27"/>
          <w14:ligatures w14:val="none"/>
        </w:rPr>
        <w:lastRenderedPageBreak/>
        <w:t>Top 10 Remittance Recipients (2025 Estimates)</w:t>
      </w:r>
    </w:p>
    <w:p w14:paraId="0F7C157C" w14:textId="77777777" w:rsidR="00D4499B" w:rsidRPr="00D4499B" w:rsidRDefault="00D4499B" w:rsidP="00D4499B">
      <w:pPr>
        <w:shd w:val="clear" w:color="auto" w:fill="FFFFFF"/>
        <w:spacing w:after="0" w:line="240" w:lineRule="auto"/>
        <w:outlineLvl w:val="2"/>
        <w:rPr>
          <w:rFonts w:ascii="Arial" w:eastAsia="Times New Roman" w:hAnsi="Arial" w:cs="Arial"/>
          <w:b/>
          <w:bCs/>
          <w:color w:val="1A1C1E"/>
          <w:kern w:val="0"/>
          <w:sz w:val="27"/>
          <w:szCs w:val="27"/>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9"/>
        <w:gridCol w:w="1581"/>
        <w:gridCol w:w="2701"/>
        <w:gridCol w:w="3557"/>
      </w:tblGrid>
      <w:tr w:rsidR="00D4499B" w:rsidRPr="00D4499B" w14:paraId="7552191E" w14:textId="77777777">
        <w:trPr>
          <w:tblCellSpacing w:w="15" w:type="dxa"/>
        </w:trPr>
        <w:tc>
          <w:tcPr>
            <w:tcW w:w="0" w:type="auto"/>
            <w:tcBorders>
              <w:top w:val="nil"/>
              <w:right w:val="nil"/>
            </w:tcBorders>
            <w:tcMar>
              <w:top w:w="90" w:type="dxa"/>
              <w:left w:w="180" w:type="dxa"/>
              <w:bottom w:w="90" w:type="dxa"/>
              <w:right w:w="180" w:type="dxa"/>
            </w:tcMar>
            <w:vAlign w:val="center"/>
            <w:hideMark/>
          </w:tcPr>
          <w:p w14:paraId="5179D59C" w14:textId="77777777" w:rsidR="00D4499B" w:rsidRPr="00D4499B" w:rsidRDefault="00D4499B" w:rsidP="00D4499B">
            <w:pPr>
              <w:spacing w:after="0" w:line="300" w:lineRule="atLeast"/>
              <w:rPr>
                <w:rFonts w:ascii="Arial" w:eastAsia="Times New Roman" w:hAnsi="Arial" w:cs="Arial"/>
                <w:b/>
                <w:bCs/>
                <w:kern w:val="0"/>
                <w:sz w:val="21"/>
                <w:szCs w:val="21"/>
                <w14:ligatures w14:val="none"/>
              </w:rPr>
            </w:pPr>
            <w:r w:rsidRPr="00D4499B">
              <w:rPr>
                <w:rFonts w:ascii="Arial" w:eastAsia="Times New Roman" w:hAnsi="Arial" w:cs="Arial"/>
                <w:b/>
                <w:bCs/>
                <w:kern w:val="0"/>
                <w:sz w:val="21"/>
                <w:szCs w:val="21"/>
                <w14:ligatures w14:val="none"/>
              </w:rPr>
              <w:t>Rank</w:t>
            </w:r>
          </w:p>
        </w:tc>
        <w:tc>
          <w:tcPr>
            <w:tcW w:w="0" w:type="auto"/>
            <w:tcBorders>
              <w:top w:val="nil"/>
              <w:right w:val="nil"/>
            </w:tcBorders>
            <w:tcMar>
              <w:top w:w="90" w:type="dxa"/>
              <w:left w:w="180" w:type="dxa"/>
              <w:bottom w:w="90" w:type="dxa"/>
              <w:right w:w="180" w:type="dxa"/>
            </w:tcMar>
            <w:vAlign w:val="center"/>
            <w:hideMark/>
          </w:tcPr>
          <w:p w14:paraId="4A049FEE" w14:textId="77777777" w:rsidR="00D4499B" w:rsidRPr="00D4499B" w:rsidRDefault="00D4499B" w:rsidP="00D4499B">
            <w:pPr>
              <w:spacing w:after="0" w:line="300" w:lineRule="atLeast"/>
              <w:rPr>
                <w:rFonts w:ascii="Arial" w:eastAsia="Times New Roman" w:hAnsi="Arial" w:cs="Arial"/>
                <w:b/>
                <w:bCs/>
                <w:kern w:val="0"/>
                <w:sz w:val="21"/>
                <w:szCs w:val="21"/>
                <w14:ligatures w14:val="none"/>
              </w:rPr>
            </w:pPr>
            <w:r w:rsidRPr="00D4499B">
              <w:rPr>
                <w:rFonts w:ascii="Arial" w:eastAsia="Times New Roman" w:hAnsi="Arial" w:cs="Arial"/>
                <w:b/>
                <w:bCs/>
                <w:kern w:val="0"/>
                <w:sz w:val="21"/>
                <w:szCs w:val="21"/>
                <w14:ligatures w14:val="none"/>
              </w:rPr>
              <w:t>Country</w:t>
            </w:r>
          </w:p>
        </w:tc>
        <w:tc>
          <w:tcPr>
            <w:tcW w:w="0" w:type="auto"/>
            <w:tcBorders>
              <w:top w:val="nil"/>
              <w:right w:val="nil"/>
            </w:tcBorders>
            <w:tcMar>
              <w:top w:w="90" w:type="dxa"/>
              <w:left w:w="180" w:type="dxa"/>
              <w:bottom w:w="90" w:type="dxa"/>
              <w:right w:w="180" w:type="dxa"/>
            </w:tcMar>
            <w:vAlign w:val="center"/>
            <w:hideMark/>
          </w:tcPr>
          <w:p w14:paraId="2E785AA2" w14:textId="77777777" w:rsidR="00D4499B" w:rsidRPr="00D4499B" w:rsidRDefault="00D4499B" w:rsidP="00D4499B">
            <w:pPr>
              <w:spacing w:after="0" w:line="300" w:lineRule="atLeast"/>
              <w:rPr>
                <w:rFonts w:ascii="Arial" w:eastAsia="Times New Roman" w:hAnsi="Arial" w:cs="Arial"/>
                <w:b/>
                <w:bCs/>
                <w:kern w:val="0"/>
                <w:sz w:val="21"/>
                <w:szCs w:val="21"/>
                <w14:ligatures w14:val="none"/>
              </w:rPr>
            </w:pPr>
            <w:r w:rsidRPr="00D4499B">
              <w:rPr>
                <w:rFonts w:ascii="Arial" w:eastAsia="Times New Roman" w:hAnsi="Arial" w:cs="Arial"/>
                <w:b/>
                <w:bCs/>
                <w:kern w:val="0"/>
                <w:sz w:val="21"/>
                <w:szCs w:val="21"/>
                <w14:ligatures w14:val="none"/>
              </w:rPr>
              <w:t>Estimated Inflow (USD)</w:t>
            </w:r>
          </w:p>
        </w:tc>
        <w:tc>
          <w:tcPr>
            <w:tcW w:w="0" w:type="auto"/>
            <w:tcBorders>
              <w:top w:val="nil"/>
              <w:right w:val="nil"/>
            </w:tcBorders>
            <w:tcMar>
              <w:top w:w="90" w:type="dxa"/>
              <w:left w:w="180" w:type="dxa"/>
              <w:bottom w:w="90" w:type="dxa"/>
              <w:right w:w="180" w:type="dxa"/>
            </w:tcMar>
            <w:vAlign w:val="center"/>
            <w:hideMark/>
          </w:tcPr>
          <w:p w14:paraId="5A39C547" w14:textId="77777777" w:rsidR="00D4499B" w:rsidRPr="00D4499B" w:rsidRDefault="00D4499B" w:rsidP="00D4499B">
            <w:pPr>
              <w:spacing w:after="0" w:line="300" w:lineRule="atLeast"/>
              <w:rPr>
                <w:rFonts w:ascii="Arial" w:eastAsia="Times New Roman" w:hAnsi="Arial" w:cs="Arial"/>
                <w:b/>
                <w:bCs/>
                <w:kern w:val="0"/>
                <w:sz w:val="21"/>
                <w:szCs w:val="21"/>
                <w14:ligatures w14:val="none"/>
              </w:rPr>
            </w:pPr>
            <w:r w:rsidRPr="00D4499B">
              <w:rPr>
                <w:rFonts w:ascii="Arial" w:eastAsia="Times New Roman" w:hAnsi="Arial" w:cs="Arial"/>
                <w:b/>
                <w:bCs/>
                <w:kern w:val="0"/>
                <w:sz w:val="21"/>
                <w:szCs w:val="21"/>
                <w14:ligatures w14:val="none"/>
              </w:rPr>
              <w:t>Primary Source Regions</w:t>
            </w:r>
          </w:p>
        </w:tc>
      </w:tr>
      <w:tr w:rsidR="00D4499B" w:rsidRPr="00D4499B" w14:paraId="6FB97007" w14:textId="77777777">
        <w:trPr>
          <w:tblCellSpacing w:w="15" w:type="dxa"/>
        </w:trPr>
        <w:tc>
          <w:tcPr>
            <w:tcW w:w="0" w:type="auto"/>
            <w:tcBorders>
              <w:right w:val="nil"/>
            </w:tcBorders>
            <w:tcMar>
              <w:top w:w="90" w:type="dxa"/>
              <w:left w:w="180" w:type="dxa"/>
              <w:bottom w:w="90" w:type="dxa"/>
              <w:right w:w="180" w:type="dxa"/>
            </w:tcMar>
            <w:vAlign w:val="center"/>
            <w:hideMark/>
          </w:tcPr>
          <w:p w14:paraId="699A9C6A"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1</w:t>
            </w:r>
          </w:p>
        </w:tc>
        <w:tc>
          <w:tcPr>
            <w:tcW w:w="0" w:type="auto"/>
            <w:tcBorders>
              <w:right w:val="nil"/>
            </w:tcBorders>
            <w:tcMar>
              <w:top w:w="90" w:type="dxa"/>
              <w:left w:w="180" w:type="dxa"/>
              <w:bottom w:w="90" w:type="dxa"/>
              <w:right w:w="180" w:type="dxa"/>
            </w:tcMar>
            <w:vAlign w:val="center"/>
            <w:hideMark/>
          </w:tcPr>
          <w:p w14:paraId="6B6F8CE9"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India</w:t>
            </w:r>
          </w:p>
        </w:tc>
        <w:tc>
          <w:tcPr>
            <w:tcW w:w="0" w:type="auto"/>
            <w:tcBorders>
              <w:right w:val="nil"/>
            </w:tcBorders>
            <w:tcMar>
              <w:top w:w="90" w:type="dxa"/>
              <w:left w:w="180" w:type="dxa"/>
              <w:bottom w:w="90" w:type="dxa"/>
              <w:right w:w="180" w:type="dxa"/>
            </w:tcMar>
            <w:vAlign w:val="center"/>
            <w:hideMark/>
          </w:tcPr>
          <w:p w14:paraId="317DB0E5"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$135.0 Billion</w:t>
            </w:r>
          </w:p>
        </w:tc>
        <w:tc>
          <w:tcPr>
            <w:tcW w:w="0" w:type="auto"/>
            <w:tcBorders>
              <w:right w:val="nil"/>
            </w:tcBorders>
            <w:tcMar>
              <w:top w:w="90" w:type="dxa"/>
              <w:left w:w="180" w:type="dxa"/>
              <w:bottom w:w="90" w:type="dxa"/>
              <w:right w:w="180" w:type="dxa"/>
            </w:tcMar>
            <w:vAlign w:val="center"/>
            <w:hideMark/>
          </w:tcPr>
          <w:p w14:paraId="3DF80A8C"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USA, UAE, UK, Saudi Arabia</w:t>
            </w:r>
          </w:p>
        </w:tc>
      </w:tr>
      <w:tr w:rsidR="00D4499B" w:rsidRPr="00D4499B" w14:paraId="77A35A52" w14:textId="77777777">
        <w:trPr>
          <w:tblCellSpacing w:w="15" w:type="dxa"/>
        </w:trPr>
        <w:tc>
          <w:tcPr>
            <w:tcW w:w="0" w:type="auto"/>
            <w:tcBorders>
              <w:right w:val="nil"/>
            </w:tcBorders>
            <w:tcMar>
              <w:top w:w="90" w:type="dxa"/>
              <w:left w:w="180" w:type="dxa"/>
              <w:bottom w:w="90" w:type="dxa"/>
              <w:right w:w="180" w:type="dxa"/>
            </w:tcMar>
            <w:vAlign w:val="center"/>
            <w:hideMark/>
          </w:tcPr>
          <w:p w14:paraId="380BAE36"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2</w:t>
            </w:r>
          </w:p>
        </w:tc>
        <w:tc>
          <w:tcPr>
            <w:tcW w:w="0" w:type="auto"/>
            <w:tcBorders>
              <w:right w:val="nil"/>
            </w:tcBorders>
            <w:tcMar>
              <w:top w:w="90" w:type="dxa"/>
              <w:left w:w="180" w:type="dxa"/>
              <w:bottom w:w="90" w:type="dxa"/>
              <w:right w:w="180" w:type="dxa"/>
            </w:tcMar>
            <w:vAlign w:val="center"/>
            <w:hideMark/>
          </w:tcPr>
          <w:p w14:paraId="33271639"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Mexico</w:t>
            </w:r>
          </w:p>
        </w:tc>
        <w:tc>
          <w:tcPr>
            <w:tcW w:w="0" w:type="auto"/>
            <w:tcBorders>
              <w:right w:val="nil"/>
            </w:tcBorders>
            <w:tcMar>
              <w:top w:w="90" w:type="dxa"/>
              <w:left w:w="180" w:type="dxa"/>
              <w:bottom w:w="90" w:type="dxa"/>
              <w:right w:w="180" w:type="dxa"/>
            </w:tcMar>
            <w:vAlign w:val="center"/>
            <w:hideMark/>
          </w:tcPr>
          <w:p w14:paraId="7D8C62EB"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$68.5 Billion</w:t>
            </w:r>
          </w:p>
        </w:tc>
        <w:tc>
          <w:tcPr>
            <w:tcW w:w="0" w:type="auto"/>
            <w:tcBorders>
              <w:right w:val="nil"/>
            </w:tcBorders>
            <w:tcMar>
              <w:top w:w="90" w:type="dxa"/>
              <w:left w:w="180" w:type="dxa"/>
              <w:bottom w:w="90" w:type="dxa"/>
              <w:right w:w="180" w:type="dxa"/>
            </w:tcMar>
            <w:vAlign w:val="center"/>
            <w:hideMark/>
          </w:tcPr>
          <w:p w14:paraId="0DBBC5E3"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United States</w:t>
            </w:r>
          </w:p>
        </w:tc>
      </w:tr>
      <w:tr w:rsidR="00D4499B" w:rsidRPr="00D4499B" w14:paraId="712ABAD1" w14:textId="77777777">
        <w:trPr>
          <w:tblCellSpacing w:w="15" w:type="dxa"/>
        </w:trPr>
        <w:tc>
          <w:tcPr>
            <w:tcW w:w="0" w:type="auto"/>
            <w:tcBorders>
              <w:right w:val="nil"/>
            </w:tcBorders>
            <w:tcMar>
              <w:top w:w="90" w:type="dxa"/>
              <w:left w:w="180" w:type="dxa"/>
              <w:bottom w:w="90" w:type="dxa"/>
              <w:right w:w="180" w:type="dxa"/>
            </w:tcMar>
            <w:vAlign w:val="center"/>
            <w:hideMark/>
          </w:tcPr>
          <w:p w14:paraId="50CCF938"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3</w:t>
            </w:r>
          </w:p>
        </w:tc>
        <w:tc>
          <w:tcPr>
            <w:tcW w:w="0" w:type="auto"/>
            <w:tcBorders>
              <w:right w:val="nil"/>
            </w:tcBorders>
            <w:tcMar>
              <w:top w:w="90" w:type="dxa"/>
              <w:left w:w="180" w:type="dxa"/>
              <w:bottom w:w="90" w:type="dxa"/>
              <w:right w:w="180" w:type="dxa"/>
            </w:tcMar>
            <w:vAlign w:val="center"/>
            <w:hideMark/>
          </w:tcPr>
          <w:p w14:paraId="6281B5E1"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China</w:t>
            </w:r>
          </w:p>
        </w:tc>
        <w:tc>
          <w:tcPr>
            <w:tcW w:w="0" w:type="auto"/>
            <w:tcBorders>
              <w:right w:val="nil"/>
            </w:tcBorders>
            <w:tcMar>
              <w:top w:w="90" w:type="dxa"/>
              <w:left w:w="180" w:type="dxa"/>
              <w:bottom w:w="90" w:type="dxa"/>
              <w:right w:w="180" w:type="dxa"/>
            </w:tcMar>
            <w:vAlign w:val="center"/>
            <w:hideMark/>
          </w:tcPr>
          <w:p w14:paraId="252B5F18"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$51.0 Billion</w:t>
            </w:r>
          </w:p>
        </w:tc>
        <w:tc>
          <w:tcPr>
            <w:tcW w:w="0" w:type="auto"/>
            <w:tcBorders>
              <w:right w:val="nil"/>
            </w:tcBorders>
            <w:tcMar>
              <w:top w:w="90" w:type="dxa"/>
              <w:left w:w="180" w:type="dxa"/>
              <w:bottom w:w="90" w:type="dxa"/>
              <w:right w:w="180" w:type="dxa"/>
            </w:tcMar>
            <w:vAlign w:val="center"/>
            <w:hideMark/>
          </w:tcPr>
          <w:p w14:paraId="0BEBD3D8"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USA, Hong Kong, Japan</w:t>
            </w:r>
          </w:p>
        </w:tc>
      </w:tr>
      <w:tr w:rsidR="00D4499B" w:rsidRPr="00D4499B" w14:paraId="3D7FBDE8" w14:textId="77777777">
        <w:trPr>
          <w:tblCellSpacing w:w="15" w:type="dxa"/>
        </w:trPr>
        <w:tc>
          <w:tcPr>
            <w:tcW w:w="0" w:type="auto"/>
            <w:tcBorders>
              <w:right w:val="nil"/>
            </w:tcBorders>
            <w:tcMar>
              <w:top w:w="90" w:type="dxa"/>
              <w:left w:w="180" w:type="dxa"/>
              <w:bottom w:w="90" w:type="dxa"/>
              <w:right w:w="180" w:type="dxa"/>
            </w:tcMar>
            <w:vAlign w:val="center"/>
            <w:hideMark/>
          </w:tcPr>
          <w:p w14:paraId="0F4DCA5B"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4</w:t>
            </w:r>
          </w:p>
        </w:tc>
        <w:tc>
          <w:tcPr>
            <w:tcW w:w="0" w:type="auto"/>
            <w:tcBorders>
              <w:right w:val="nil"/>
            </w:tcBorders>
            <w:tcMar>
              <w:top w:w="90" w:type="dxa"/>
              <w:left w:w="180" w:type="dxa"/>
              <w:bottom w:w="90" w:type="dxa"/>
              <w:right w:w="180" w:type="dxa"/>
            </w:tcMar>
            <w:vAlign w:val="center"/>
            <w:hideMark/>
          </w:tcPr>
          <w:p w14:paraId="3658C439"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Philippines</w:t>
            </w:r>
          </w:p>
        </w:tc>
        <w:tc>
          <w:tcPr>
            <w:tcW w:w="0" w:type="auto"/>
            <w:tcBorders>
              <w:right w:val="nil"/>
            </w:tcBorders>
            <w:tcMar>
              <w:top w:w="90" w:type="dxa"/>
              <w:left w:w="180" w:type="dxa"/>
              <w:bottom w:w="90" w:type="dxa"/>
              <w:right w:w="180" w:type="dxa"/>
            </w:tcMar>
            <w:vAlign w:val="center"/>
            <w:hideMark/>
          </w:tcPr>
          <w:p w14:paraId="066C9D45"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$41.5 Billion</w:t>
            </w:r>
          </w:p>
        </w:tc>
        <w:tc>
          <w:tcPr>
            <w:tcW w:w="0" w:type="auto"/>
            <w:tcBorders>
              <w:right w:val="nil"/>
            </w:tcBorders>
            <w:tcMar>
              <w:top w:w="90" w:type="dxa"/>
              <w:left w:w="180" w:type="dxa"/>
              <w:bottom w:w="90" w:type="dxa"/>
              <w:right w:w="180" w:type="dxa"/>
            </w:tcMar>
            <w:vAlign w:val="center"/>
            <w:hideMark/>
          </w:tcPr>
          <w:p w14:paraId="0FDA1C63"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USA, Saudi Arabia, UAE, Canada</w:t>
            </w:r>
          </w:p>
        </w:tc>
      </w:tr>
      <w:tr w:rsidR="00D4499B" w:rsidRPr="00D4499B" w14:paraId="0EC7730D" w14:textId="77777777">
        <w:trPr>
          <w:tblCellSpacing w:w="15" w:type="dxa"/>
        </w:trPr>
        <w:tc>
          <w:tcPr>
            <w:tcW w:w="0" w:type="auto"/>
            <w:tcBorders>
              <w:right w:val="nil"/>
            </w:tcBorders>
            <w:tcMar>
              <w:top w:w="90" w:type="dxa"/>
              <w:left w:w="180" w:type="dxa"/>
              <w:bottom w:w="90" w:type="dxa"/>
              <w:right w:w="180" w:type="dxa"/>
            </w:tcMar>
            <w:vAlign w:val="center"/>
            <w:hideMark/>
          </w:tcPr>
          <w:p w14:paraId="68A5531B"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5</w:t>
            </w:r>
          </w:p>
        </w:tc>
        <w:tc>
          <w:tcPr>
            <w:tcW w:w="0" w:type="auto"/>
            <w:tcBorders>
              <w:right w:val="nil"/>
            </w:tcBorders>
            <w:tcMar>
              <w:top w:w="90" w:type="dxa"/>
              <w:left w:w="180" w:type="dxa"/>
              <w:bottom w:w="90" w:type="dxa"/>
              <w:right w:w="180" w:type="dxa"/>
            </w:tcMar>
            <w:vAlign w:val="center"/>
            <w:hideMark/>
          </w:tcPr>
          <w:p w14:paraId="29722D3E"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Pakistan</w:t>
            </w:r>
          </w:p>
        </w:tc>
        <w:tc>
          <w:tcPr>
            <w:tcW w:w="0" w:type="auto"/>
            <w:tcBorders>
              <w:right w:val="nil"/>
            </w:tcBorders>
            <w:tcMar>
              <w:top w:w="90" w:type="dxa"/>
              <w:left w:w="180" w:type="dxa"/>
              <w:bottom w:w="90" w:type="dxa"/>
              <w:right w:w="180" w:type="dxa"/>
            </w:tcMar>
            <w:vAlign w:val="center"/>
            <w:hideMark/>
          </w:tcPr>
          <w:p w14:paraId="1C3E75B9"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$32.8 Billion</w:t>
            </w:r>
          </w:p>
        </w:tc>
        <w:tc>
          <w:tcPr>
            <w:tcW w:w="0" w:type="auto"/>
            <w:tcBorders>
              <w:right w:val="nil"/>
            </w:tcBorders>
            <w:tcMar>
              <w:top w:w="90" w:type="dxa"/>
              <w:left w:w="180" w:type="dxa"/>
              <w:bottom w:w="90" w:type="dxa"/>
              <w:right w:w="180" w:type="dxa"/>
            </w:tcMar>
            <w:vAlign w:val="center"/>
            <w:hideMark/>
          </w:tcPr>
          <w:p w14:paraId="2336F7A6"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Saudi Arabia, UAE, UK</w:t>
            </w:r>
          </w:p>
        </w:tc>
      </w:tr>
      <w:tr w:rsidR="00D4499B" w:rsidRPr="00D4499B" w14:paraId="1F0142E1" w14:textId="77777777">
        <w:trPr>
          <w:tblCellSpacing w:w="15" w:type="dxa"/>
        </w:trPr>
        <w:tc>
          <w:tcPr>
            <w:tcW w:w="0" w:type="auto"/>
            <w:tcBorders>
              <w:right w:val="nil"/>
            </w:tcBorders>
            <w:tcMar>
              <w:top w:w="90" w:type="dxa"/>
              <w:left w:w="180" w:type="dxa"/>
              <w:bottom w:w="90" w:type="dxa"/>
              <w:right w:w="180" w:type="dxa"/>
            </w:tcMar>
            <w:vAlign w:val="center"/>
            <w:hideMark/>
          </w:tcPr>
          <w:p w14:paraId="149561BD"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6</w:t>
            </w:r>
          </w:p>
        </w:tc>
        <w:tc>
          <w:tcPr>
            <w:tcW w:w="0" w:type="auto"/>
            <w:tcBorders>
              <w:right w:val="nil"/>
            </w:tcBorders>
            <w:tcMar>
              <w:top w:w="90" w:type="dxa"/>
              <w:left w:w="180" w:type="dxa"/>
              <w:bottom w:w="90" w:type="dxa"/>
              <w:right w:w="180" w:type="dxa"/>
            </w:tcMar>
            <w:vAlign w:val="center"/>
            <w:hideMark/>
          </w:tcPr>
          <w:p w14:paraId="41D342FC"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Egypt</w:t>
            </w:r>
          </w:p>
        </w:tc>
        <w:tc>
          <w:tcPr>
            <w:tcW w:w="0" w:type="auto"/>
            <w:tcBorders>
              <w:right w:val="nil"/>
            </w:tcBorders>
            <w:tcMar>
              <w:top w:w="90" w:type="dxa"/>
              <w:left w:w="180" w:type="dxa"/>
              <w:bottom w:w="90" w:type="dxa"/>
              <w:right w:w="180" w:type="dxa"/>
            </w:tcMar>
            <w:vAlign w:val="center"/>
            <w:hideMark/>
          </w:tcPr>
          <w:p w14:paraId="60BDA7A5"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$29.5 Billion</w:t>
            </w:r>
          </w:p>
        </w:tc>
        <w:tc>
          <w:tcPr>
            <w:tcW w:w="0" w:type="auto"/>
            <w:tcBorders>
              <w:right w:val="nil"/>
            </w:tcBorders>
            <w:tcMar>
              <w:top w:w="90" w:type="dxa"/>
              <w:left w:w="180" w:type="dxa"/>
              <w:bottom w:w="90" w:type="dxa"/>
              <w:right w:w="180" w:type="dxa"/>
            </w:tcMar>
            <w:vAlign w:val="center"/>
            <w:hideMark/>
          </w:tcPr>
          <w:p w14:paraId="66D54692"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Saudi Arabia, UAE, Kuwait</w:t>
            </w:r>
          </w:p>
        </w:tc>
      </w:tr>
      <w:tr w:rsidR="00D4499B" w:rsidRPr="00D4499B" w14:paraId="77FEB9D6" w14:textId="77777777">
        <w:trPr>
          <w:tblCellSpacing w:w="15" w:type="dxa"/>
        </w:trPr>
        <w:tc>
          <w:tcPr>
            <w:tcW w:w="0" w:type="auto"/>
            <w:tcBorders>
              <w:right w:val="nil"/>
            </w:tcBorders>
            <w:tcMar>
              <w:top w:w="90" w:type="dxa"/>
              <w:left w:w="180" w:type="dxa"/>
              <w:bottom w:w="90" w:type="dxa"/>
              <w:right w:w="180" w:type="dxa"/>
            </w:tcMar>
            <w:vAlign w:val="center"/>
            <w:hideMark/>
          </w:tcPr>
          <w:p w14:paraId="0E6F848A"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7</w:t>
            </w:r>
          </w:p>
        </w:tc>
        <w:tc>
          <w:tcPr>
            <w:tcW w:w="0" w:type="auto"/>
            <w:tcBorders>
              <w:right w:val="nil"/>
            </w:tcBorders>
            <w:tcMar>
              <w:top w:w="90" w:type="dxa"/>
              <w:left w:w="180" w:type="dxa"/>
              <w:bottom w:w="90" w:type="dxa"/>
              <w:right w:w="180" w:type="dxa"/>
            </w:tcMar>
            <w:vAlign w:val="center"/>
            <w:hideMark/>
          </w:tcPr>
          <w:p w14:paraId="673C4A98"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Bangladesh</w:t>
            </w:r>
          </w:p>
        </w:tc>
        <w:tc>
          <w:tcPr>
            <w:tcW w:w="0" w:type="auto"/>
            <w:tcBorders>
              <w:right w:val="nil"/>
            </w:tcBorders>
            <w:tcMar>
              <w:top w:w="90" w:type="dxa"/>
              <w:left w:w="180" w:type="dxa"/>
              <w:bottom w:w="90" w:type="dxa"/>
              <w:right w:w="180" w:type="dxa"/>
            </w:tcMar>
            <w:vAlign w:val="center"/>
            <w:hideMark/>
          </w:tcPr>
          <w:p w14:paraId="0F06865C"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$24.2 Billion</w:t>
            </w:r>
          </w:p>
        </w:tc>
        <w:tc>
          <w:tcPr>
            <w:tcW w:w="0" w:type="auto"/>
            <w:tcBorders>
              <w:right w:val="nil"/>
            </w:tcBorders>
            <w:tcMar>
              <w:top w:w="90" w:type="dxa"/>
              <w:left w:w="180" w:type="dxa"/>
              <w:bottom w:w="90" w:type="dxa"/>
              <w:right w:w="180" w:type="dxa"/>
            </w:tcMar>
            <w:vAlign w:val="center"/>
            <w:hideMark/>
          </w:tcPr>
          <w:p w14:paraId="085D226F"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GCC Countries, USA, UK</w:t>
            </w:r>
          </w:p>
        </w:tc>
      </w:tr>
      <w:tr w:rsidR="00D4499B" w:rsidRPr="00D4499B" w14:paraId="70919F6B" w14:textId="77777777">
        <w:trPr>
          <w:tblCellSpacing w:w="15" w:type="dxa"/>
        </w:trPr>
        <w:tc>
          <w:tcPr>
            <w:tcW w:w="0" w:type="auto"/>
            <w:tcBorders>
              <w:right w:val="nil"/>
            </w:tcBorders>
            <w:tcMar>
              <w:top w:w="90" w:type="dxa"/>
              <w:left w:w="180" w:type="dxa"/>
              <w:bottom w:w="90" w:type="dxa"/>
              <w:right w:w="180" w:type="dxa"/>
            </w:tcMar>
            <w:vAlign w:val="center"/>
            <w:hideMark/>
          </w:tcPr>
          <w:p w14:paraId="022C4BD2"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8</w:t>
            </w:r>
          </w:p>
        </w:tc>
        <w:tc>
          <w:tcPr>
            <w:tcW w:w="0" w:type="auto"/>
            <w:tcBorders>
              <w:right w:val="nil"/>
            </w:tcBorders>
            <w:tcMar>
              <w:top w:w="90" w:type="dxa"/>
              <w:left w:w="180" w:type="dxa"/>
              <w:bottom w:w="90" w:type="dxa"/>
              <w:right w:w="180" w:type="dxa"/>
            </w:tcMar>
            <w:vAlign w:val="center"/>
            <w:hideMark/>
          </w:tcPr>
          <w:p w14:paraId="78655B2D"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Nigeria</w:t>
            </w:r>
          </w:p>
        </w:tc>
        <w:tc>
          <w:tcPr>
            <w:tcW w:w="0" w:type="auto"/>
            <w:tcBorders>
              <w:right w:val="nil"/>
            </w:tcBorders>
            <w:tcMar>
              <w:top w:w="90" w:type="dxa"/>
              <w:left w:w="180" w:type="dxa"/>
              <w:bottom w:w="90" w:type="dxa"/>
              <w:right w:w="180" w:type="dxa"/>
            </w:tcMar>
            <w:vAlign w:val="center"/>
            <w:hideMark/>
          </w:tcPr>
          <w:p w14:paraId="6367CDC6"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$21.5 Billion</w:t>
            </w:r>
          </w:p>
        </w:tc>
        <w:tc>
          <w:tcPr>
            <w:tcW w:w="0" w:type="auto"/>
            <w:tcBorders>
              <w:right w:val="nil"/>
            </w:tcBorders>
            <w:tcMar>
              <w:top w:w="90" w:type="dxa"/>
              <w:left w:w="180" w:type="dxa"/>
              <w:bottom w:w="90" w:type="dxa"/>
              <w:right w:w="180" w:type="dxa"/>
            </w:tcMar>
            <w:vAlign w:val="center"/>
            <w:hideMark/>
          </w:tcPr>
          <w:p w14:paraId="204E2296"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USA, UK, Canada</w:t>
            </w:r>
          </w:p>
        </w:tc>
      </w:tr>
      <w:tr w:rsidR="00D4499B" w:rsidRPr="00D4499B" w14:paraId="5ED51397" w14:textId="77777777">
        <w:trPr>
          <w:tblCellSpacing w:w="15" w:type="dxa"/>
        </w:trPr>
        <w:tc>
          <w:tcPr>
            <w:tcW w:w="0" w:type="auto"/>
            <w:tcBorders>
              <w:right w:val="nil"/>
            </w:tcBorders>
            <w:tcMar>
              <w:top w:w="90" w:type="dxa"/>
              <w:left w:w="180" w:type="dxa"/>
              <w:bottom w:w="90" w:type="dxa"/>
              <w:right w:w="180" w:type="dxa"/>
            </w:tcMar>
            <w:vAlign w:val="center"/>
            <w:hideMark/>
          </w:tcPr>
          <w:p w14:paraId="1D9DBE4A"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9</w:t>
            </w:r>
          </w:p>
        </w:tc>
        <w:tc>
          <w:tcPr>
            <w:tcW w:w="0" w:type="auto"/>
            <w:tcBorders>
              <w:right w:val="nil"/>
            </w:tcBorders>
            <w:tcMar>
              <w:top w:w="90" w:type="dxa"/>
              <w:left w:w="180" w:type="dxa"/>
              <w:bottom w:w="90" w:type="dxa"/>
              <w:right w:w="180" w:type="dxa"/>
            </w:tcMar>
            <w:vAlign w:val="center"/>
            <w:hideMark/>
          </w:tcPr>
          <w:p w14:paraId="4799DE72"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Vietnam</w:t>
            </w:r>
          </w:p>
        </w:tc>
        <w:tc>
          <w:tcPr>
            <w:tcW w:w="0" w:type="auto"/>
            <w:tcBorders>
              <w:right w:val="nil"/>
            </w:tcBorders>
            <w:tcMar>
              <w:top w:w="90" w:type="dxa"/>
              <w:left w:w="180" w:type="dxa"/>
              <w:bottom w:w="90" w:type="dxa"/>
              <w:right w:w="180" w:type="dxa"/>
            </w:tcMar>
            <w:vAlign w:val="center"/>
            <w:hideMark/>
          </w:tcPr>
          <w:p w14:paraId="74F792C7"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$19.8 Billion</w:t>
            </w:r>
          </w:p>
        </w:tc>
        <w:tc>
          <w:tcPr>
            <w:tcW w:w="0" w:type="auto"/>
            <w:tcBorders>
              <w:right w:val="nil"/>
            </w:tcBorders>
            <w:tcMar>
              <w:top w:w="90" w:type="dxa"/>
              <w:left w:w="180" w:type="dxa"/>
              <w:bottom w:w="90" w:type="dxa"/>
              <w:right w:w="180" w:type="dxa"/>
            </w:tcMar>
            <w:vAlign w:val="center"/>
            <w:hideMark/>
          </w:tcPr>
          <w:p w14:paraId="58C6D48D"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USA, Japan, Australia</w:t>
            </w:r>
          </w:p>
        </w:tc>
      </w:tr>
      <w:tr w:rsidR="00D4499B" w:rsidRPr="00D4499B" w14:paraId="7E2F732E" w14:textId="77777777">
        <w:trPr>
          <w:tblCellSpacing w:w="15" w:type="dxa"/>
        </w:trPr>
        <w:tc>
          <w:tcPr>
            <w:tcW w:w="0" w:type="auto"/>
            <w:tcBorders>
              <w:right w:val="nil"/>
            </w:tcBorders>
            <w:tcMar>
              <w:top w:w="90" w:type="dxa"/>
              <w:left w:w="180" w:type="dxa"/>
              <w:bottom w:w="90" w:type="dxa"/>
              <w:right w:w="180" w:type="dxa"/>
            </w:tcMar>
            <w:vAlign w:val="center"/>
            <w:hideMark/>
          </w:tcPr>
          <w:p w14:paraId="2F5D770D"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10</w:t>
            </w:r>
          </w:p>
        </w:tc>
        <w:tc>
          <w:tcPr>
            <w:tcW w:w="0" w:type="auto"/>
            <w:tcBorders>
              <w:right w:val="nil"/>
            </w:tcBorders>
            <w:tcMar>
              <w:top w:w="90" w:type="dxa"/>
              <w:left w:w="180" w:type="dxa"/>
              <w:bottom w:w="90" w:type="dxa"/>
              <w:right w:w="180" w:type="dxa"/>
            </w:tcMar>
            <w:vAlign w:val="center"/>
            <w:hideMark/>
          </w:tcPr>
          <w:p w14:paraId="2FACF67B"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Ukraine</w:t>
            </w:r>
          </w:p>
        </w:tc>
        <w:tc>
          <w:tcPr>
            <w:tcW w:w="0" w:type="auto"/>
            <w:tcBorders>
              <w:right w:val="nil"/>
            </w:tcBorders>
            <w:tcMar>
              <w:top w:w="90" w:type="dxa"/>
              <w:left w:w="180" w:type="dxa"/>
              <w:bottom w:w="90" w:type="dxa"/>
              <w:right w:w="180" w:type="dxa"/>
            </w:tcMar>
            <w:vAlign w:val="center"/>
            <w:hideMark/>
          </w:tcPr>
          <w:p w14:paraId="19788E79"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b/>
                <w:bCs/>
                <w:kern w:val="0"/>
                <w:sz w:val="21"/>
                <w:szCs w:val="21"/>
                <w14:ligatures w14:val="none"/>
              </w:rPr>
              <w:t>$15.2 Billion</w:t>
            </w:r>
          </w:p>
        </w:tc>
        <w:tc>
          <w:tcPr>
            <w:tcW w:w="0" w:type="auto"/>
            <w:tcBorders>
              <w:right w:val="nil"/>
            </w:tcBorders>
            <w:tcMar>
              <w:top w:w="90" w:type="dxa"/>
              <w:left w:w="180" w:type="dxa"/>
              <w:bottom w:w="90" w:type="dxa"/>
              <w:right w:w="180" w:type="dxa"/>
            </w:tcMar>
            <w:vAlign w:val="center"/>
            <w:hideMark/>
          </w:tcPr>
          <w:p w14:paraId="40FE7DDE" w14:textId="77777777" w:rsidR="00D4499B" w:rsidRPr="00D4499B" w:rsidRDefault="00D4499B" w:rsidP="00D4499B">
            <w:pPr>
              <w:spacing w:after="0" w:line="300" w:lineRule="atLeast"/>
              <w:rPr>
                <w:rFonts w:ascii="Arial" w:eastAsia="Times New Roman" w:hAnsi="Arial" w:cs="Arial"/>
                <w:kern w:val="0"/>
                <w:sz w:val="21"/>
                <w:szCs w:val="21"/>
                <w14:ligatures w14:val="none"/>
              </w:rPr>
            </w:pPr>
            <w:r w:rsidRPr="00D4499B">
              <w:rPr>
                <w:rFonts w:ascii="Arial" w:eastAsia="Times New Roman" w:hAnsi="Arial" w:cs="Arial"/>
                <w:kern w:val="0"/>
                <w:sz w:val="21"/>
                <w:szCs w:val="21"/>
                <w14:ligatures w14:val="none"/>
              </w:rPr>
              <w:t>EU Countries (Poland, Germany)</w:t>
            </w:r>
          </w:p>
        </w:tc>
      </w:tr>
    </w:tbl>
    <w:p w14:paraId="7D629B20" w14:textId="77777777" w:rsidR="00D4499B" w:rsidRPr="00D4499B" w:rsidRDefault="00000000" w:rsidP="00D4499B">
      <w:pPr>
        <w:spacing w:before="240" w:after="240" w:line="240" w:lineRule="auto"/>
        <w:rPr>
          <w:rFonts w:ascii="Arial" w:eastAsia="Times New Roman" w:hAnsi="Arial" w:cs="Arial"/>
          <w:kern w:val="0"/>
          <w:sz w:val="21"/>
          <w:szCs w:val="21"/>
          <w14:ligatures w14:val="none"/>
        </w:rPr>
      </w:pPr>
      <w:r>
        <w:rPr>
          <w:rFonts w:ascii="Times New Roman" w:eastAsia="Times New Roman" w:hAnsi="Times New Roman" w:cs="Times New Roman"/>
          <w:kern w:val="0"/>
          <w14:ligatures w14:val="none"/>
        </w:rPr>
        <w:pict w14:anchorId="3015204A">
          <v:rect id="_x0000_i1026" style="width:712.8pt;height:1.5pt" o:hrpct="0" o:hralign="center" o:hrstd="t" o:hr="t" fillcolor="#a0a0a0" stroked="f"/>
        </w:pict>
      </w:r>
    </w:p>
    <w:p w14:paraId="4AE61EB9" w14:textId="77777777" w:rsidR="00D4499B" w:rsidRPr="00D4499B" w:rsidRDefault="00D4499B" w:rsidP="00D4499B">
      <w:pPr>
        <w:shd w:val="clear" w:color="auto" w:fill="FFFFFF"/>
        <w:spacing w:after="270" w:line="240" w:lineRule="auto"/>
        <w:outlineLvl w:val="2"/>
        <w:rPr>
          <w:rFonts w:ascii="Arial" w:eastAsia="Times New Roman" w:hAnsi="Arial" w:cs="Arial"/>
          <w:b/>
          <w:bCs/>
          <w:color w:val="1A1C1E"/>
          <w:kern w:val="0"/>
          <w:sz w:val="27"/>
          <w:szCs w:val="27"/>
          <w14:ligatures w14:val="none"/>
        </w:rPr>
      </w:pPr>
      <w:r w:rsidRPr="00D4499B">
        <w:rPr>
          <w:rFonts w:ascii="Arial" w:eastAsia="Times New Roman" w:hAnsi="Arial" w:cs="Arial"/>
          <w:b/>
          <w:bCs/>
          <w:color w:val="1A1C1E"/>
          <w:kern w:val="0"/>
          <w:sz w:val="27"/>
          <w:szCs w:val="27"/>
          <w14:ligatures w14:val="none"/>
        </w:rPr>
        <w:t>Key Trends and Analysis for 2025</w:t>
      </w:r>
    </w:p>
    <w:p w14:paraId="79358209" w14:textId="77777777" w:rsidR="00D4499B" w:rsidRPr="00D4499B" w:rsidRDefault="00D4499B" w:rsidP="00D4499B">
      <w:pPr>
        <w:shd w:val="clear" w:color="auto" w:fill="FFFFFF"/>
        <w:spacing w:after="0" w:line="240" w:lineRule="auto"/>
        <w:outlineLvl w:val="3"/>
        <w:rPr>
          <w:rFonts w:ascii="Arial" w:eastAsia="Times New Roman" w:hAnsi="Arial" w:cs="Arial"/>
          <w:b/>
          <w:bCs/>
          <w:color w:val="1A1C1E"/>
          <w:kern w:val="0"/>
          <w:sz w:val="21"/>
          <w:szCs w:val="21"/>
          <w14:ligatures w14:val="none"/>
        </w:rPr>
      </w:pPr>
      <w:r w:rsidRPr="00D4499B">
        <w:rPr>
          <w:rFonts w:ascii="Arial" w:eastAsia="Times New Roman" w:hAnsi="Arial" w:cs="Arial"/>
          <w:b/>
          <w:bCs/>
          <w:color w:val="1A1C1E"/>
          <w:kern w:val="0"/>
          <w:sz w:val="21"/>
          <w:szCs w:val="21"/>
          <w14:ligatures w14:val="none"/>
        </w:rPr>
        <w:t>1. India’s Unprecedented Lead</w:t>
      </w:r>
    </w:p>
    <w:p w14:paraId="14CA8384" w14:textId="77777777" w:rsidR="00D4499B" w:rsidRPr="00D4499B" w:rsidRDefault="00D4499B" w:rsidP="00D4499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D4499B">
        <w:rPr>
          <w:rFonts w:ascii="Arial" w:eastAsia="Times New Roman" w:hAnsi="Arial" w:cs="Arial"/>
          <w:color w:val="1A1C1E"/>
          <w:kern w:val="0"/>
          <w:sz w:val="21"/>
          <w:szCs w:val="21"/>
          <w14:ligatures w14:val="none"/>
        </w:rPr>
        <w:t>India continues to distance itself from the rest of the world, growing nearly 9% year-over-year. The 2025 surge was driven by </w:t>
      </w:r>
      <w:r w:rsidRPr="00D4499B">
        <w:rPr>
          <w:rFonts w:ascii="Arial" w:eastAsia="Times New Roman" w:hAnsi="Arial" w:cs="Arial"/>
          <w:b/>
          <w:bCs/>
          <w:color w:val="1A1C1E"/>
          <w:kern w:val="0"/>
          <w:sz w:val="21"/>
          <w:szCs w:val="21"/>
          <w14:ligatures w14:val="none"/>
        </w:rPr>
        <w:t>high-skilled migrants</w:t>
      </w:r>
      <w:r w:rsidRPr="00D4499B">
        <w:rPr>
          <w:rFonts w:ascii="Arial" w:eastAsia="Times New Roman" w:hAnsi="Arial" w:cs="Arial"/>
          <w:color w:val="1A1C1E"/>
          <w:kern w:val="0"/>
          <w:sz w:val="21"/>
          <w:szCs w:val="21"/>
          <w14:ligatures w14:val="none"/>
        </w:rPr>
        <w:t> in the US and Europe (Information Technology and Healthcare) and a stable labor market for </w:t>
      </w:r>
      <w:r w:rsidRPr="00D4499B">
        <w:rPr>
          <w:rFonts w:ascii="Arial" w:eastAsia="Times New Roman" w:hAnsi="Arial" w:cs="Arial"/>
          <w:b/>
          <w:bCs/>
          <w:color w:val="1A1C1E"/>
          <w:kern w:val="0"/>
          <w:sz w:val="21"/>
          <w:szCs w:val="21"/>
          <w14:ligatures w14:val="none"/>
        </w:rPr>
        <w:t>low-skilled workers</w:t>
      </w:r>
      <w:r w:rsidRPr="00D4499B">
        <w:rPr>
          <w:rFonts w:ascii="Arial" w:eastAsia="Times New Roman" w:hAnsi="Arial" w:cs="Arial"/>
          <w:color w:val="1A1C1E"/>
          <w:kern w:val="0"/>
          <w:sz w:val="21"/>
          <w:szCs w:val="21"/>
          <w14:ligatures w14:val="none"/>
        </w:rPr>
        <w:t> in the Gulf Cooperation Council (GCC) countries.</w:t>
      </w:r>
    </w:p>
    <w:p w14:paraId="38241653" w14:textId="77777777" w:rsidR="00D4499B" w:rsidRPr="00D4499B" w:rsidRDefault="00D4499B" w:rsidP="00D4499B">
      <w:pPr>
        <w:shd w:val="clear" w:color="auto" w:fill="FFFFFF"/>
        <w:spacing w:after="0" w:line="240" w:lineRule="auto"/>
        <w:outlineLvl w:val="3"/>
        <w:rPr>
          <w:rFonts w:ascii="Arial" w:eastAsia="Times New Roman" w:hAnsi="Arial" w:cs="Arial"/>
          <w:b/>
          <w:bCs/>
          <w:color w:val="1A1C1E"/>
          <w:kern w:val="0"/>
          <w:sz w:val="21"/>
          <w:szCs w:val="21"/>
          <w14:ligatures w14:val="none"/>
        </w:rPr>
      </w:pPr>
      <w:r w:rsidRPr="00D4499B">
        <w:rPr>
          <w:rFonts w:ascii="Arial" w:eastAsia="Times New Roman" w:hAnsi="Arial" w:cs="Arial"/>
          <w:b/>
          <w:bCs/>
          <w:color w:val="1A1C1E"/>
          <w:kern w:val="0"/>
          <w:sz w:val="21"/>
          <w:szCs w:val="21"/>
          <w14:ligatures w14:val="none"/>
        </w:rPr>
        <w:t>2. The "Egypt Rebound"</w:t>
      </w:r>
    </w:p>
    <w:p w14:paraId="5B7950E8" w14:textId="77777777" w:rsidR="00D4499B" w:rsidRPr="00D4499B" w:rsidRDefault="00D4499B" w:rsidP="00D4499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D4499B">
        <w:rPr>
          <w:rFonts w:ascii="Arial" w:eastAsia="Times New Roman" w:hAnsi="Arial" w:cs="Arial"/>
          <w:color w:val="1A1C1E"/>
          <w:kern w:val="0"/>
          <w:sz w:val="21"/>
          <w:szCs w:val="21"/>
          <w14:ligatures w14:val="none"/>
        </w:rPr>
        <w:t>Egypt saw one of the most significant recoveries in 2025. Following the unification of its exchange rate and a massive crackdown on the "black market" for currency in late 2024, billions of dollars returned to official banking channels, moving Egypt back up into the top 6 global recipients.</w:t>
      </w:r>
    </w:p>
    <w:p w14:paraId="5821BD8E" w14:textId="77777777" w:rsidR="00D4499B" w:rsidRPr="00D4499B" w:rsidRDefault="00D4499B" w:rsidP="00D4499B">
      <w:pPr>
        <w:shd w:val="clear" w:color="auto" w:fill="FFFFFF"/>
        <w:spacing w:after="0" w:line="240" w:lineRule="auto"/>
        <w:outlineLvl w:val="3"/>
        <w:rPr>
          <w:rFonts w:ascii="Arial" w:eastAsia="Times New Roman" w:hAnsi="Arial" w:cs="Arial"/>
          <w:b/>
          <w:bCs/>
          <w:color w:val="1A1C1E"/>
          <w:kern w:val="0"/>
          <w:sz w:val="21"/>
          <w:szCs w:val="21"/>
          <w14:ligatures w14:val="none"/>
        </w:rPr>
      </w:pPr>
      <w:r w:rsidRPr="00D4499B">
        <w:rPr>
          <w:rFonts w:ascii="Arial" w:eastAsia="Times New Roman" w:hAnsi="Arial" w:cs="Arial"/>
          <w:b/>
          <w:bCs/>
          <w:color w:val="1A1C1E"/>
          <w:kern w:val="0"/>
          <w:sz w:val="21"/>
          <w:szCs w:val="21"/>
          <w14:ligatures w14:val="none"/>
        </w:rPr>
        <w:t>3. Mexican Stability</w:t>
      </w:r>
    </w:p>
    <w:p w14:paraId="2171D24B" w14:textId="77777777" w:rsidR="00D4499B" w:rsidRPr="00D4499B" w:rsidRDefault="00D4499B" w:rsidP="00D4499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D4499B">
        <w:rPr>
          <w:rFonts w:ascii="Arial" w:eastAsia="Times New Roman" w:hAnsi="Arial" w:cs="Arial"/>
          <w:color w:val="1A1C1E"/>
          <w:kern w:val="0"/>
          <w:sz w:val="21"/>
          <w:szCs w:val="21"/>
          <w14:ligatures w14:val="none"/>
        </w:rPr>
        <w:t>Despite a slight cooling in the U.S. construction sector in early 2025, flows to Mexico remained resilient. A "precautionary motive" was observed: migrants increased their transfers in anticipation of potential changes in U.S. immigration and remittance taxation policies.</w:t>
      </w:r>
    </w:p>
    <w:p w14:paraId="269D5BB1" w14:textId="77777777" w:rsidR="00D4499B" w:rsidRPr="00D4499B" w:rsidRDefault="00D4499B" w:rsidP="00D4499B">
      <w:pPr>
        <w:shd w:val="clear" w:color="auto" w:fill="FFFFFF"/>
        <w:spacing w:after="0" w:line="240" w:lineRule="auto"/>
        <w:outlineLvl w:val="3"/>
        <w:rPr>
          <w:rFonts w:ascii="Arial" w:eastAsia="Times New Roman" w:hAnsi="Arial" w:cs="Arial"/>
          <w:b/>
          <w:bCs/>
          <w:color w:val="1A1C1E"/>
          <w:kern w:val="0"/>
          <w:sz w:val="21"/>
          <w:szCs w:val="21"/>
          <w14:ligatures w14:val="none"/>
        </w:rPr>
      </w:pPr>
      <w:r w:rsidRPr="00D4499B">
        <w:rPr>
          <w:rFonts w:ascii="Arial" w:eastAsia="Times New Roman" w:hAnsi="Arial" w:cs="Arial"/>
          <w:b/>
          <w:bCs/>
          <w:color w:val="1A1C1E"/>
          <w:kern w:val="0"/>
          <w:sz w:val="21"/>
          <w:szCs w:val="21"/>
          <w14:ligatures w14:val="none"/>
        </w:rPr>
        <w:lastRenderedPageBreak/>
        <w:t>4. The "Big Four" in Asia</w:t>
      </w:r>
    </w:p>
    <w:p w14:paraId="7DD363F9" w14:textId="77777777" w:rsidR="00D4499B" w:rsidRPr="00D4499B" w:rsidRDefault="00D4499B" w:rsidP="00D4499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D4499B">
        <w:rPr>
          <w:rFonts w:ascii="Arial" w:eastAsia="Times New Roman" w:hAnsi="Arial" w:cs="Arial"/>
          <w:color w:val="1A1C1E"/>
          <w:kern w:val="0"/>
          <w:sz w:val="21"/>
          <w:szCs w:val="21"/>
          <w14:ligatures w14:val="none"/>
        </w:rPr>
        <w:t>India, China, the Philippines, and Pakistan collectively account for nearly </w:t>
      </w:r>
      <w:r w:rsidRPr="00D4499B">
        <w:rPr>
          <w:rFonts w:ascii="Arial" w:eastAsia="Times New Roman" w:hAnsi="Arial" w:cs="Arial"/>
          <w:b/>
          <w:bCs/>
          <w:color w:val="1A1C1E"/>
          <w:kern w:val="0"/>
          <w:sz w:val="21"/>
          <w:szCs w:val="21"/>
          <w14:ligatures w14:val="none"/>
        </w:rPr>
        <w:t>40% of all remittances</w:t>
      </w:r>
      <w:r w:rsidRPr="00D4499B">
        <w:rPr>
          <w:rFonts w:ascii="Arial" w:eastAsia="Times New Roman" w:hAnsi="Arial" w:cs="Arial"/>
          <w:color w:val="1A1C1E"/>
          <w:kern w:val="0"/>
          <w:sz w:val="21"/>
          <w:szCs w:val="21"/>
          <w14:ligatures w14:val="none"/>
        </w:rPr>
        <w:t> sent to the developing world. While China’s inflows have stagnated as a percentage of its massive GDP, the other three countries remain deeply dependent on these flows for foreign exchange reserves.</w:t>
      </w:r>
    </w:p>
    <w:p w14:paraId="31AF3D05" w14:textId="77777777" w:rsidR="00D4499B" w:rsidRPr="00D4499B" w:rsidRDefault="00D4499B" w:rsidP="00D4499B">
      <w:pPr>
        <w:shd w:val="clear" w:color="auto" w:fill="FFFFFF"/>
        <w:spacing w:after="0" w:line="240" w:lineRule="auto"/>
        <w:outlineLvl w:val="3"/>
        <w:rPr>
          <w:rFonts w:ascii="Arial" w:eastAsia="Times New Roman" w:hAnsi="Arial" w:cs="Arial"/>
          <w:b/>
          <w:bCs/>
          <w:color w:val="1A1C1E"/>
          <w:kern w:val="0"/>
          <w:sz w:val="21"/>
          <w:szCs w:val="21"/>
          <w14:ligatures w14:val="none"/>
        </w:rPr>
      </w:pPr>
      <w:r w:rsidRPr="00D4499B">
        <w:rPr>
          <w:rFonts w:ascii="Arial" w:eastAsia="Times New Roman" w:hAnsi="Arial" w:cs="Arial"/>
          <w:b/>
          <w:bCs/>
          <w:color w:val="1A1C1E"/>
          <w:kern w:val="0"/>
          <w:sz w:val="21"/>
          <w:szCs w:val="21"/>
          <w14:ligatures w14:val="none"/>
        </w:rPr>
        <w:t>5. Dependence vs. Volume</w:t>
      </w:r>
    </w:p>
    <w:p w14:paraId="2AC4C282" w14:textId="77777777" w:rsidR="00D4499B" w:rsidRPr="00D4499B" w:rsidRDefault="00D4499B" w:rsidP="00D4499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D4499B">
        <w:rPr>
          <w:rFonts w:ascii="Arial" w:eastAsia="Times New Roman" w:hAnsi="Arial" w:cs="Arial"/>
          <w:color w:val="1A1C1E"/>
          <w:kern w:val="0"/>
          <w:sz w:val="21"/>
          <w:szCs w:val="21"/>
          <w14:ligatures w14:val="none"/>
        </w:rPr>
        <w:t>It is important to note that while these 10 countries receive the most </w:t>
      </w:r>
      <w:r w:rsidRPr="00D4499B">
        <w:rPr>
          <w:rFonts w:ascii="Arial" w:eastAsia="Times New Roman" w:hAnsi="Arial" w:cs="Arial"/>
          <w:b/>
          <w:bCs/>
          <w:color w:val="1A1C1E"/>
          <w:kern w:val="0"/>
          <w:sz w:val="21"/>
          <w:szCs w:val="21"/>
          <w14:ligatures w14:val="none"/>
        </w:rPr>
        <w:t>volume</w:t>
      </w:r>
      <w:r w:rsidRPr="00D4499B">
        <w:rPr>
          <w:rFonts w:ascii="Arial" w:eastAsia="Times New Roman" w:hAnsi="Arial" w:cs="Arial"/>
          <w:color w:val="1A1C1E"/>
          <w:kern w:val="0"/>
          <w:sz w:val="21"/>
          <w:szCs w:val="21"/>
          <w14:ligatures w14:val="none"/>
        </w:rPr>
        <w:t>, they are not necessarily the most </w:t>
      </w:r>
      <w:r w:rsidRPr="00D4499B">
        <w:rPr>
          <w:rFonts w:ascii="Arial" w:eastAsia="Times New Roman" w:hAnsi="Arial" w:cs="Arial"/>
          <w:b/>
          <w:bCs/>
          <w:color w:val="1A1C1E"/>
          <w:kern w:val="0"/>
          <w:sz w:val="21"/>
          <w:szCs w:val="21"/>
          <w14:ligatures w14:val="none"/>
        </w:rPr>
        <w:t>dependent</w:t>
      </w:r>
      <w:r w:rsidRPr="00D4499B">
        <w:rPr>
          <w:rFonts w:ascii="Arial" w:eastAsia="Times New Roman" w:hAnsi="Arial" w:cs="Arial"/>
          <w:color w:val="1A1C1E"/>
          <w:kern w:val="0"/>
          <w:sz w:val="21"/>
          <w:szCs w:val="21"/>
          <w14:ligatures w14:val="none"/>
        </w:rPr>
        <w:t> on remittances. In 2025, the countries with the highest remittance-to-GDP ratios were:</w:t>
      </w:r>
    </w:p>
    <w:p w14:paraId="5966B8F6" w14:textId="77777777" w:rsidR="00D4499B" w:rsidRPr="00D4499B" w:rsidRDefault="00D4499B" w:rsidP="00D4499B">
      <w:pPr>
        <w:numPr>
          <w:ilvl w:val="0"/>
          <w:numId w:val="9"/>
        </w:numPr>
        <w:shd w:val="clear" w:color="auto" w:fill="FFFFFF"/>
        <w:spacing w:after="45" w:line="300" w:lineRule="atLeast"/>
        <w:rPr>
          <w:rFonts w:ascii="Arial" w:eastAsia="Times New Roman" w:hAnsi="Arial" w:cs="Arial"/>
          <w:color w:val="1A1C1E"/>
          <w:kern w:val="0"/>
          <w:sz w:val="21"/>
          <w:szCs w:val="21"/>
          <w14:ligatures w14:val="none"/>
        </w:rPr>
      </w:pPr>
      <w:r w:rsidRPr="00D4499B">
        <w:rPr>
          <w:rFonts w:ascii="Arial" w:eastAsia="Times New Roman" w:hAnsi="Arial" w:cs="Arial"/>
          <w:b/>
          <w:bCs/>
          <w:color w:val="1A1C1E"/>
          <w:kern w:val="0"/>
          <w:sz w:val="21"/>
          <w:szCs w:val="21"/>
          <w14:ligatures w14:val="none"/>
        </w:rPr>
        <w:t>Tajikistan:</w:t>
      </w:r>
      <w:r w:rsidRPr="00D4499B">
        <w:rPr>
          <w:rFonts w:ascii="Arial" w:eastAsia="Times New Roman" w:hAnsi="Arial" w:cs="Arial"/>
          <w:color w:val="1A1C1E"/>
          <w:kern w:val="0"/>
          <w:sz w:val="21"/>
          <w:szCs w:val="21"/>
          <w14:ligatures w14:val="none"/>
        </w:rPr>
        <w:t> ~48% of GDP</w:t>
      </w:r>
    </w:p>
    <w:p w14:paraId="54D296FF" w14:textId="77777777" w:rsidR="00D4499B" w:rsidRPr="00D4499B" w:rsidRDefault="00D4499B" w:rsidP="00D4499B">
      <w:pPr>
        <w:numPr>
          <w:ilvl w:val="0"/>
          <w:numId w:val="9"/>
        </w:numPr>
        <w:shd w:val="clear" w:color="auto" w:fill="FFFFFF"/>
        <w:spacing w:after="45" w:line="300" w:lineRule="atLeast"/>
        <w:rPr>
          <w:rFonts w:ascii="Arial" w:eastAsia="Times New Roman" w:hAnsi="Arial" w:cs="Arial"/>
          <w:color w:val="1A1C1E"/>
          <w:kern w:val="0"/>
          <w:sz w:val="21"/>
          <w:szCs w:val="21"/>
          <w14:ligatures w14:val="none"/>
        </w:rPr>
      </w:pPr>
      <w:r w:rsidRPr="00D4499B">
        <w:rPr>
          <w:rFonts w:ascii="Arial" w:eastAsia="Times New Roman" w:hAnsi="Arial" w:cs="Arial"/>
          <w:b/>
          <w:bCs/>
          <w:color w:val="1A1C1E"/>
          <w:kern w:val="0"/>
          <w:sz w:val="21"/>
          <w:szCs w:val="21"/>
          <w14:ligatures w14:val="none"/>
        </w:rPr>
        <w:t>Tonga:</w:t>
      </w:r>
      <w:r w:rsidRPr="00D4499B">
        <w:rPr>
          <w:rFonts w:ascii="Arial" w:eastAsia="Times New Roman" w:hAnsi="Arial" w:cs="Arial"/>
          <w:color w:val="1A1C1E"/>
          <w:kern w:val="0"/>
          <w:sz w:val="21"/>
          <w:szCs w:val="21"/>
          <w14:ligatures w14:val="none"/>
        </w:rPr>
        <w:t> ~41% of GDP</w:t>
      </w:r>
    </w:p>
    <w:p w14:paraId="2DF7A87A" w14:textId="77777777" w:rsidR="00D4499B" w:rsidRPr="00D4499B" w:rsidRDefault="00D4499B" w:rsidP="00D4499B">
      <w:pPr>
        <w:numPr>
          <w:ilvl w:val="0"/>
          <w:numId w:val="9"/>
        </w:numPr>
        <w:shd w:val="clear" w:color="auto" w:fill="FFFFFF"/>
        <w:spacing w:after="45" w:line="300" w:lineRule="atLeast"/>
        <w:rPr>
          <w:rFonts w:ascii="Arial" w:eastAsia="Times New Roman" w:hAnsi="Arial" w:cs="Arial"/>
          <w:color w:val="1A1C1E"/>
          <w:kern w:val="0"/>
          <w:sz w:val="21"/>
          <w:szCs w:val="21"/>
          <w14:ligatures w14:val="none"/>
        </w:rPr>
      </w:pPr>
      <w:r w:rsidRPr="00D4499B">
        <w:rPr>
          <w:rFonts w:ascii="Arial" w:eastAsia="Times New Roman" w:hAnsi="Arial" w:cs="Arial"/>
          <w:b/>
          <w:bCs/>
          <w:color w:val="1A1C1E"/>
          <w:kern w:val="0"/>
          <w:sz w:val="21"/>
          <w:szCs w:val="21"/>
          <w14:ligatures w14:val="none"/>
        </w:rPr>
        <w:t>Lebanon:</w:t>
      </w:r>
      <w:r w:rsidRPr="00D4499B">
        <w:rPr>
          <w:rFonts w:ascii="Arial" w:eastAsia="Times New Roman" w:hAnsi="Arial" w:cs="Arial"/>
          <w:color w:val="1A1C1E"/>
          <w:kern w:val="0"/>
          <w:sz w:val="21"/>
          <w:szCs w:val="21"/>
          <w14:ligatures w14:val="none"/>
        </w:rPr>
        <w:t> ~32% of GDP</w:t>
      </w:r>
    </w:p>
    <w:p w14:paraId="1107231F" w14:textId="77777777" w:rsidR="00D4499B" w:rsidRPr="00D4499B" w:rsidRDefault="00D4499B" w:rsidP="00D4499B">
      <w:pPr>
        <w:numPr>
          <w:ilvl w:val="0"/>
          <w:numId w:val="9"/>
        </w:numPr>
        <w:shd w:val="clear" w:color="auto" w:fill="FFFFFF"/>
        <w:spacing w:after="45" w:line="300" w:lineRule="atLeast"/>
        <w:rPr>
          <w:rFonts w:ascii="Arial" w:eastAsia="Times New Roman" w:hAnsi="Arial" w:cs="Arial"/>
          <w:color w:val="1A1C1E"/>
          <w:kern w:val="0"/>
          <w:sz w:val="21"/>
          <w:szCs w:val="21"/>
          <w14:ligatures w14:val="none"/>
        </w:rPr>
      </w:pPr>
      <w:r w:rsidRPr="00D4499B">
        <w:rPr>
          <w:rFonts w:ascii="Arial" w:eastAsia="Times New Roman" w:hAnsi="Arial" w:cs="Arial"/>
          <w:b/>
          <w:bCs/>
          <w:color w:val="1A1C1E"/>
          <w:kern w:val="0"/>
          <w:sz w:val="21"/>
          <w:szCs w:val="21"/>
          <w14:ligatures w14:val="none"/>
        </w:rPr>
        <w:t>Gambia:</w:t>
      </w:r>
      <w:r w:rsidRPr="00D4499B">
        <w:rPr>
          <w:rFonts w:ascii="Arial" w:eastAsia="Times New Roman" w:hAnsi="Arial" w:cs="Arial"/>
          <w:color w:val="1A1C1E"/>
          <w:kern w:val="0"/>
          <w:sz w:val="21"/>
          <w:szCs w:val="21"/>
          <w14:ligatures w14:val="none"/>
        </w:rPr>
        <w:t> ~28% of GDP</w:t>
      </w:r>
    </w:p>
    <w:p w14:paraId="59DB04B9" w14:textId="77777777" w:rsidR="00D4499B" w:rsidRPr="00D4499B" w:rsidRDefault="00D4499B" w:rsidP="00D4499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D4499B">
        <w:rPr>
          <w:rFonts w:ascii="Arial" w:eastAsia="Times New Roman" w:hAnsi="Arial" w:cs="Arial"/>
          <w:b/>
          <w:bCs/>
          <w:color w:val="1A1C1E"/>
          <w:kern w:val="0"/>
          <w:sz w:val="27"/>
          <w:szCs w:val="27"/>
          <w14:ligatures w14:val="none"/>
        </w:rPr>
        <w:t>Summary of Source Regions</w:t>
      </w:r>
    </w:p>
    <w:p w14:paraId="42510A58" w14:textId="77777777" w:rsidR="00D4499B" w:rsidRPr="00D4499B" w:rsidRDefault="00D4499B" w:rsidP="00D4499B">
      <w:pPr>
        <w:shd w:val="clear" w:color="auto" w:fill="FFFFFF"/>
        <w:spacing w:before="100" w:beforeAutospacing="1" w:after="0" w:line="300" w:lineRule="atLeast"/>
        <w:rPr>
          <w:rFonts w:ascii="Arial" w:eastAsia="Times New Roman" w:hAnsi="Arial" w:cs="Arial"/>
          <w:color w:val="1A1C1E"/>
          <w:kern w:val="0"/>
          <w:sz w:val="21"/>
          <w:szCs w:val="21"/>
          <w14:ligatures w14:val="none"/>
        </w:rPr>
      </w:pPr>
      <w:r w:rsidRPr="00D4499B">
        <w:rPr>
          <w:rFonts w:ascii="Arial" w:eastAsia="Times New Roman" w:hAnsi="Arial" w:cs="Arial"/>
          <w:color w:val="1A1C1E"/>
          <w:kern w:val="0"/>
          <w:sz w:val="21"/>
          <w:szCs w:val="21"/>
          <w14:ligatures w14:val="none"/>
        </w:rPr>
        <w:t>The </w:t>
      </w:r>
      <w:r w:rsidRPr="00D4499B">
        <w:rPr>
          <w:rFonts w:ascii="Arial" w:eastAsia="Times New Roman" w:hAnsi="Arial" w:cs="Arial"/>
          <w:b/>
          <w:bCs/>
          <w:color w:val="1A1C1E"/>
          <w:kern w:val="0"/>
          <w:sz w:val="21"/>
          <w:szCs w:val="21"/>
          <w14:ligatures w14:val="none"/>
        </w:rPr>
        <w:t>United States</w:t>
      </w:r>
      <w:r w:rsidRPr="00D4499B">
        <w:rPr>
          <w:rFonts w:ascii="Arial" w:eastAsia="Times New Roman" w:hAnsi="Arial" w:cs="Arial"/>
          <w:color w:val="1A1C1E"/>
          <w:kern w:val="0"/>
          <w:sz w:val="21"/>
          <w:szCs w:val="21"/>
          <w14:ligatures w14:val="none"/>
        </w:rPr>
        <w:t> remains the largest single source of remittances globally, followed by </w:t>
      </w:r>
      <w:r w:rsidRPr="00D4499B">
        <w:rPr>
          <w:rFonts w:ascii="Arial" w:eastAsia="Times New Roman" w:hAnsi="Arial" w:cs="Arial"/>
          <w:b/>
          <w:bCs/>
          <w:color w:val="1A1C1E"/>
          <w:kern w:val="0"/>
          <w:sz w:val="21"/>
          <w:szCs w:val="21"/>
          <w14:ligatures w14:val="none"/>
        </w:rPr>
        <w:t>Saudi Arabia</w:t>
      </w:r>
      <w:r w:rsidRPr="00D4499B">
        <w:rPr>
          <w:rFonts w:ascii="Arial" w:eastAsia="Times New Roman" w:hAnsi="Arial" w:cs="Arial"/>
          <w:color w:val="1A1C1E"/>
          <w:kern w:val="0"/>
          <w:sz w:val="21"/>
          <w:szCs w:val="21"/>
          <w14:ligatures w14:val="none"/>
        </w:rPr>
        <w:t> and the </w:t>
      </w:r>
      <w:r w:rsidRPr="00D4499B">
        <w:rPr>
          <w:rFonts w:ascii="Arial" w:eastAsia="Times New Roman" w:hAnsi="Arial" w:cs="Arial"/>
          <w:b/>
          <w:bCs/>
          <w:color w:val="1A1C1E"/>
          <w:kern w:val="0"/>
          <w:sz w:val="21"/>
          <w:szCs w:val="21"/>
          <w14:ligatures w14:val="none"/>
        </w:rPr>
        <w:t>United Arab Emirates</w:t>
      </w:r>
      <w:r w:rsidRPr="00D4499B">
        <w:rPr>
          <w:rFonts w:ascii="Arial" w:eastAsia="Times New Roman" w:hAnsi="Arial" w:cs="Arial"/>
          <w:color w:val="1A1C1E"/>
          <w:kern w:val="0"/>
          <w:sz w:val="21"/>
          <w:szCs w:val="21"/>
          <w14:ligatures w14:val="none"/>
        </w:rPr>
        <w:t>. In 2025, the average cost of sending $200 remained stubbornly high at </w:t>
      </w:r>
      <w:r w:rsidRPr="00D4499B">
        <w:rPr>
          <w:rFonts w:ascii="Arial" w:eastAsia="Times New Roman" w:hAnsi="Arial" w:cs="Arial"/>
          <w:b/>
          <w:bCs/>
          <w:color w:val="1A1C1E"/>
          <w:kern w:val="0"/>
          <w:sz w:val="21"/>
          <w:szCs w:val="21"/>
          <w14:ligatures w14:val="none"/>
        </w:rPr>
        <w:t>6.2%</w:t>
      </w:r>
      <w:r w:rsidRPr="00D4499B">
        <w:rPr>
          <w:rFonts w:ascii="Arial" w:eastAsia="Times New Roman" w:hAnsi="Arial" w:cs="Arial"/>
          <w:color w:val="1A1C1E"/>
          <w:kern w:val="0"/>
          <w:sz w:val="21"/>
          <w:szCs w:val="21"/>
          <w14:ligatures w14:val="none"/>
        </w:rPr>
        <w:t>, still well above the United Nations' Sustainable Development Goal (SDG) target of 3%.</w:t>
      </w:r>
    </w:p>
    <w:p w14:paraId="3724F315" w14:textId="77777777" w:rsidR="00D4499B" w:rsidRDefault="00D4499B" w:rsidP="00D4499B">
      <w:pPr>
        <w:shd w:val="clear" w:color="auto" w:fill="FFFFFF"/>
        <w:spacing w:after="0" w:line="300" w:lineRule="atLeast"/>
        <w:rPr>
          <w:rFonts w:ascii="Arial" w:eastAsia="Times New Roman" w:hAnsi="Arial" w:cs="Arial"/>
          <w:color w:val="000000"/>
          <w:kern w:val="0"/>
          <w:sz w:val="21"/>
          <w:szCs w:val="21"/>
          <w14:ligatures w14:val="none"/>
        </w:rPr>
      </w:pPr>
    </w:p>
    <w:p w14:paraId="01325804" w14:textId="4BB3432D" w:rsidR="00D4499B" w:rsidRPr="00D4499B" w:rsidRDefault="00D4499B" w:rsidP="00D4499B">
      <w:pPr>
        <w:shd w:val="clear" w:color="auto" w:fill="FFFFFF"/>
        <w:spacing w:after="0" w:line="300" w:lineRule="atLeast"/>
        <w:rPr>
          <w:rFonts w:ascii="Arial" w:eastAsia="Times New Roman" w:hAnsi="Arial" w:cs="Arial"/>
          <w:color w:val="000000"/>
          <w:kern w:val="0"/>
          <w:sz w:val="21"/>
          <w:szCs w:val="21"/>
          <w14:ligatures w14:val="none"/>
        </w:rPr>
      </w:pPr>
      <w:r w:rsidRPr="00D4499B">
        <w:rPr>
          <w:rFonts w:ascii="Arial" w:eastAsia="Times New Roman" w:hAnsi="Arial" w:cs="Arial"/>
          <w:color w:val="000000"/>
          <w:kern w:val="0"/>
          <w:sz w:val="21"/>
          <w:szCs w:val="21"/>
          <w14:ligatures w14:val="none"/>
        </w:rPr>
        <w:t>Sources</w:t>
      </w:r>
      <w:r>
        <w:rPr>
          <w:rFonts w:ascii="Google Symbols" w:eastAsia="Times New Roman" w:hAnsi="Google Symbols" w:cs="Arial"/>
          <w:color w:val="000000"/>
          <w:kern w:val="0"/>
          <w:sz w:val="27"/>
          <w:szCs w:val="27"/>
          <w14:ligatures w14:val="none"/>
        </w:rPr>
        <w:t xml:space="preserve"> </w:t>
      </w:r>
    </w:p>
    <w:p w14:paraId="03674CCD" w14:textId="77777777" w:rsidR="00D4499B" w:rsidRPr="00D4499B" w:rsidRDefault="00D4499B" w:rsidP="00D4499B">
      <w:pPr>
        <w:numPr>
          <w:ilvl w:val="0"/>
          <w:numId w:val="8"/>
        </w:numPr>
        <w:shd w:val="clear" w:color="auto" w:fill="FFFFFF"/>
        <w:spacing w:before="100" w:beforeAutospacing="1" w:after="60" w:line="240" w:lineRule="auto"/>
        <w:rPr>
          <w:rFonts w:ascii="Arial" w:eastAsia="Times New Roman" w:hAnsi="Arial" w:cs="Arial"/>
          <w:color w:val="1A1C1E"/>
          <w:kern w:val="0"/>
          <w:sz w:val="21"/>
          <w:szCs w:val="21"/>
          <w14:ligatures w14:val="none"/>
        </w:rPr>
      </w:pPr>
      <w:hyperlink r:id="rId13" w:tgtFrame="_blank" w:history="1">
        <w:r w:rsidRPr="00D4499B">
          <w:rPr>
            <w:rFonts w:ascii="Arial" w:eastAsia="Times New Roman" w:hAnsi="Arial" w:cs="Arial"/>
            <w:color w:val="2483E2"/>
            <w:kern w:val="0"/>
            <w:sz w:val="21"/>
            <w:szCs w:val="21"/>
            <w:u w:val="single"/>
            <w14:ligatures w14:val="none"/>
          </w:rPr>
          <w:t>un.org</w:t>
        </w:r>
      </w:hyperlink>
    </w:p>
    <w:p w14:paraId="2CFA028E" w14:textId="77777777" w:rsidR="00D4499B" w:rsidRPr="00D4499B" w:rsidRDefault="00D4499B" w:rsidP="00D4499B">
      <w:pPr>
        <w:numPr>
          <w:ilvl w:val="0"/>
          <w:numId w:val="8"/>
        </w:numPr>
        <w:shd w:val="clear" w:color="auto" w:fill="FFFFFF"/>
        <w:spacing w:before="100" w:beforeAutospacing="1" w:after="60" w:line="240" w:lineRule="auto"/>
        <w:rPr>
          <w:rFonts w:ascii="Arial" w:eastAsia="Times New Roman" w:hAnsi="Arial" w:cs="Arial"/>
          <w:color w:val="1A1C1E"/>
          <w:kern w:val="0"/>
          <w:sz w:val="21"/>
          <w:szCs w:val="21"/>
          <w14:ligatures w14:val="none"/>
        </w:rPr>
      </w:pPr>
      <w:hyperlink r:id="rId14" w:tgtFrame="_blank" w:history="1">
        <w:r w:rsidRPr="00D4499B">
          <w:rPr>
            <w:rFonts w:ascii="Arial" w:eastAsia="Times New Roman" w:hAnsi="Arial" w:cs="Arial"/>
            <w:color w:val="2483E2"/>
            <w:kern w:val="0"/>
            <w:sz w:val="21"/>
            <w:szCs w:val="21"/>
            <w:u w:val="single"/>
            <w14:ligatures w14:val="none"/>
          </w:rPr>
          <w:t>riotimesonline.com</w:t>
        </w:r>
      </w:hyperlink>
    </w:p>
    <w:p w14:paraId="0E40DBC3" w14:textId="77777777" w:rsidR="00D4499B" w:rsidRPr="00D4499B" w:rsidRDefault="00D4499B" w:rsidP="00D4499B">
      <w:pPr>
        <w:numPr>
          <w:ilvl w:val="0"/>
          <w:numId w:val="8"/>
        </w:numPr>
        <w:shd w:val="clear" w:color="auto" w:fill="FFFFFF"/>
        <w:spacing w:before="100" w:beforeAutospacing="1" w:after="60" w:line="240" w:lineRule="auto"/>
        <w:rPr>
          <w:rFonts w:ascii="Arial" w:eastAsia="Times New Roman" w:hAnsi="Arial" w:cs="Arial"/>
          <w:color w:val="1A1C1E"/>
          <w:kern w:val="0"/>
          <w:sz w:val="21"/>
          <w:szCs w:val="21"/>
          <w14:ligatures w14:val="none"/>
        </w:rPr>
      </w:pPr>
      <w:hyperlink r:id="rId15" w:tgtFrame="_blank" w:history="1">
        <w:proofErr w:type="spellStart"/>
        <w:proofErr w:type="gramStart"/>
        <w:r w:rsidRPr="00D4499B">
          <w:rPr>
            <w:rFonts w:ascii="Arial" w:eastAsia="Times New Roman" w:hAnsi="Arial" w:cs="Arial"/>
            <w:color w:val="2483E2"/>
            <w:kern w:val="0"/>
            <w:sz w:val="21"/>
            <w:szCs w:val="21"/>
            <w:u w:val="single"/>
            <w14:ligatures w14:val="none"/>
          </w:rPr>
          <w:t>our</w:t>
        </w:r>
        <w:proofErr w:type="gramEnd"/>
        <w:r w:rsidRPr="00D4499B">
          <w:rPr>
            <w:rFonts w:ascii="Arial" w:eastAsia="Times New Roman" w:hAnsi="Arial" w:cs="Arial"/>
            <w:color w:val="2483E2"/>
            <w:kern w:val="0"/>
            <w:sz w:val="21"/>
            <w:szCs w:val="21"/>
            <w:u w:val="single"/>
            <w14:ligatures w14:val="none"/>
          </w:rPr>
          <w:t>.today</w:t>
        </w:r>
        <w:proofErr w:type="spellEnd"/>
      </w:hyperlink>
    </w:p>
    <w:p w14:paraId="693B77AE" w14:textId="77777777" w:rsidR="00D4499B" w:rsidRPr="00D4499B" w:rsidRDefault="00D4499B" w:rsidP="00D4499B">
      <w:pPr>
        <w:numPr>
          <w:ilvl w:val="0"/>
          <w:numId w:val="8"/>
        </w:numPr>
        <w:shd w:val="clear" w:color="auto" w:fill="FFFFFF"/>
        <w:spacing w:before="100" w:beforeAutospacing="1" w:after="60" w:line="240" w:lineRule="auto"/>
        <w:rPr>
          <w:rFonts w:ascii="Arial" w:eastAsia="Times New Roman" w:hAnsi="Arial" w:cs="Arial"/>
          <w:color w:val="1A1C1E"/>
          <w:kern w:val="0"/>
          <w:sz w:val="21"/>
          <w:szCs w:val="21"/>
          <w14:ligatures w14:val="none"/>
        </w:rPr>
      </w:pPr>
      <w:hyperlink r:id="rId16" w:tgtFrame="_blank" w:history="1">
        <w:r w:rsidRPr="00D4499B">
          <w:rPr>
            <w:rFonts w:ascii="Arial" w:eastAsia="Times New Roman" w:hAnsi="Arial" w:cs="Arial"/>
            <w:color w:val="2483E2"/>
            <w:kern w:val="0"/>
            <w:sz w:val="21"/>
            <w:szCs w:val="21"/>
            <w:u w:val="single"/>
            <w14:ligatures w14:val="none"/>
          </w:rPr>
          <w:t>theafricareport.com</w:t>
        </w:r>
      </w:hyperlink>
    </w:p>
    <w:p w14:paraId="296B3A5F" w14:textId="77777777" w:rsidR="00D4499B" w:rsidRPr="00D4499B" w:rsidRDefault="00D4499B" w:rsidP="00D4499B">
      <w:pPr>
        <w:numPr>
          <w:ilvl w:val="0"/>
          <w:numId w:val="8"/>
        </w:numPr>
        <w:shd w:val="clear" w:color="auto" w:fill="FFFFFF"/>
        <w:spacing w:before="100" w:beforeAutospacing="1" w:after="60" w:line="240" w:lineRule="auto"/>
        <w:rPr>
          <w:rFonts w:ascii="Arial" w:eastAsia="Times New Roman" w:hAnsi="Arial" w:cs="Arial"/>
          <w:color w:val="1A1C1E"/>
          <w:kern w:val="0"/>
          <w:sz w:val="21"/>
          <w:szCs w:val="21"/>
          <w14:ligatures w14:val="none"/>
        </w:rPr>
      </w:pPr>
      <w:hyperlink r:id="rId17" w:tgtFrame="_blank" w:history="1">
        <w:r w:rsidRPr="00D4499B">
          <w:rPr>
            <w:rFonts w:ascii="Arial" w:eastAsia="Times New Roman" w:hAnsi="Arial" w:cs="Arial"/>
            <w:color w:val="2483E2"/>
            <w:kern w:val="0"/>
            <w:sz w:val="21"/>
            <w:szCs w:val="21"/>
            <w:u w:val="single"/>
            <w14:ligatures w14:val="none"/>
          </w:rPr>
          <w:t>migrationdataportal.org</w:t>
        </w:r>
      </w:hyperlink>
    </w:p>
    <w:p w14:paraId="2BFDA92D" w14:textId="77777777" w:rsidR="00A03483" w:rsidRPr="00D4499B" w:rsidRDefault="00A03483" w:rsidP="00D4499B"/>
    <w:sectPr w:rsidR="00A03483" w:rsidRPr="00D449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ogle Symbol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129"/>
    <w:multiLevelType w:val="multilevel"/>
    <w:tmpl w:val="5866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B3E67"/>
    <w:multiLevelType w:val="multilevel"/>
    <w:tmpl w:val="6F22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04B46"/>
    <w:multiLevelType w:val="multilevel"/>
    <w:tmpl w:val="FC36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B43D3"/>
    <w:multiLevelType w:val="multilevel"/>
    <w:tmpl w:val="4EE2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F20BA"/>
    <w:multiLevelType w:val="multilevel"/>
    <w:tmpl w:val="937E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66552"/>
    <w:multiLevelType w:val="multilevel"/>
    <w:tmpl w:val="B1E2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80728"/>
    <w:multiLevelType w:val="multilevel"/>
    <w:tmpl w:val="7D4E8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D40160"/>
    <w:multiLevelType w:val="multilevel"/>
    <w:tmpl w:val="012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507F1C"/>
    <w:multiLevelType w:val="multilevel"/>
    <w:tmpl w:val="5300B9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8687407">
    <w:abstractNumId w:val="3"/>
  </w:num>
  <w:num w:numId="2" w16cid:durableId="404764407">
    <w:abstractNumId w:val="7"/>
  </w:num>
  <w:num w:numId="3" w16cid:durableId="846291394">
    <w:abstractNumId w:val="4"/>
  </w:num>
  <w:num w:numId="4" w16cid:durableId="286281736">
    <w:abstractNumId w:val="1"/>
  </w:num>
  <w:num w:numId="5" w16cid:durableId="83966189">
    <w:abstractNumId w:val="2"/>
  </w:num>
  <w:num w:numId="6" w16cid:durableId="532838974">
    <w:abstractNumId w:val="0"/>
  </w:num>
  <w:num w:numId="7" w16cid:durableId="177160817">
    <w:abstractNumId w:val="8"/>
  </w:num>
  <w:num w:numId="8" w16cid:durableId="162282848">
    <w:abstractNumId w:val="6"/>
  </w:num>
  <w:num w:numId="9" w16cid:durableId="1120875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YwNjM3sTQ2NjQ1tTBR0lEKTi0uzszPAykwqgUAyIR0IiwAAAA="/>
  </w:docVars>
  <w:rsids>
    <w:rsidRoot w:val="00B93A1A"/>
    <w:rsid w:val="001412B4"/>
    <w:rsid w:val="00311F2E"/>
    <w:rsid w:val="00366001"/>
    <w:rsid w:val="003C287B"/>
    <w:rsid w:val="005020E7"/>
    <w:rsid w:val="0098613E"/>
    <w:rsid w:val="00A03483"/>
    <w:rsid w:val="00A77B80"/>
    <w:rsid w:val="00B93A1A"/>
    <w:rsid w:val="00D4499B"/>
    <w:rsid w:val="00E4681E"/>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7677"/>
  <w15:chartTrackingRefBased/>
  <w15:docId w15:val="{91FD82B9-7A00-4537-8DA0-E9DBE02E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A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3A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3A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A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A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A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A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A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A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A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3A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93A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A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A1A"/>
    <w:rPr>
      <w:rFonts w:eastAsiaTheme="majorEastAsia" w:cstheme="majorBidi"/>
      <w:color w:val="272727" w:themeColor="text1" w:themeTint="D8"/>
    </w:rPr>
  </w:style>
  <w:style w:type="paragraph" w:styleId="Title">
    <w:name w:val="Title"/>
    <w:basedOn w:val="Normal"/>
    <w:next w:val="Normal"/>
    <w:link w:val="TitleChar"/>
    <w:uiPriority w:val="10"/>
    <w:qFormat/>
    <w:rsid w:val="00B93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A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A1A"/>
    <w:pPr>
      <w:spacing w:before="160"/>
      <w:jc w:val="center"/>
    </w:pPr>
    <w:rPr>
      <w:i/>
      <w:iCs/>
      <w:color w:val="404040" w:themeColor="text1" w:themeTint="BF"/>
    </w:rPr>
  </w:style>
  <w:style w:type="character" w:customStyle="1" w:styleId="QuoteChar">
    <w:name w:val="Quote Char"/>
    <w:basedOn w:val="DefaultParagraphFont"/>
    <w:link w:val="Quote"/>
    <w:uiPriority w:val="29"/>
    <w:rsid w:val="00B93A1A"/>
    <w:rPr>
      <w:i/>
      <w:iCs/>
      <w:color w:val="404040" w:themeColor="text1" w:themeTint="BF"/>
    </w:rPr>
  </w:style>
  <w:style w:type="paragraph" w:styleId="ListParagraph">
    <w:name w:val="List Paragraph"/>
    <w:basedOn w:val="Normal"/>
    <w:uiPriority w:val="34"/>
    <w:qFormat/>
    <w:rsid w:val="00B93A1A"/>
    <w:pPr>
      <w:ind w:left="720"/>
      <w:contextualSpacing/>
    </w:pPr>
  </w:style>
  <w:style w:type="character" w:styleId="IntenseEmphasis">
    <w:name w:val="Intense Emphasis"/>
    <w:basedOn w:val="DefaultParagraphFont"/>
    <w:uiPriority w:val="21"/>
    <w:qFormat/>
    <w:rsid w:val="00B93A1A"/>
    <w:rPr>
      <w:i/>
      <w:iCs/>
      <w:color w:val="0F4761" w:themeColor="accent1" w:themeShade="BF"/>
    </w:rPr>
  </w:style>
  <w:style w:type="paragraph" w:styleId="IntenseQuote">
    <w:name w:val="Intense Quote"/>
    <w:basedOn w:val="Normal"/>
    <w:next w:val="Normal"/>
    <w:link w:val="IntenseQuoteChar"/>
    <w:uiPriority w:val="30"/>
    <w:qFormat/>
    <w:rsid w:val="00B93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A1A"/>
    <w:rPr>
      <w:i/>
      <w:iCs/>
      <w:color w:val="0F4761" w:themeColor="accent1" w:themeShade="BF"/>
    </w:rPr>
  </w:style>
  <w:style w:type="character" w:styleId="IntenseReference">
    <w:name w:val="Intense Reference"/>
    <w:basedOn w:val="DefaultParagraphFont"/>
    <w:uiPriority w:val="32"/>
    <w:qFormat/>
    <w:rsid w:val="00B93A1A"/>
    <w:rPr>
      <w:b/>
      <w:bCs/>
      <w:smallCaps/>
      <w:color w:val="0F4761" w:themeColor="accent1" w:themeShade="BF"/>
      <w:spacing w:val="5"/>
    </w:rPr>
  </w:style>
  <w:style w:type="paragraph" w:customStyle="1" w:styleId="ng-star-inserted">
    <w:name w:val="ng-star-inserted"/>
    <w:basedOn w:val="Normal"/>
    <w:rsid w:val="00B93A1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B93A1A"/>
  </w:style>
  <w:style w:type="character" w:styleId="Strong">
    <w:name w:val="Strong"/>
    <w:basedOn w:val="DefaultParagraphFont"/>
    <w:uiPriority w:val="22"/>
    <w:qFormat/>
    <w:rsid w:val="00D4499B"/>
    <w:rPr>
      <w:b/>
      <w:bCs/>
    </w:rPr>
  </w:style>
  <w:style w:type="paragraph" w:styleId="HTMLPreformatted">
    <w:name w:val="HTML Preformatted"/>
    <w:basedOn w:val="Normal"/>
    <w:link w:val="HTMLPreformattedChar"/>
    <w:uiPriority w:val="99"/>
    <w:semiHidden/>
    <w:unhideWhenUsed/>
    <w:rsid w:val="00D44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D4499B"/>
    <w:rPr>
      <w:rFonts w:ascii="Courier New" w:eastAsia="Times New Roman" w:hAnsi="Courier New" w:cs="Courier New"/>
      <w:kern w:val="0"/>
      <w:sz w:val="20"/>
      <w:szCs w:val="20"/>
      <w14:ligatures w14:val="none"/>
    </w:rPr>
  </w:style>
  <w:style w:type="character" w:styleId="Hyperlink">
    <w:name w:val="Hyperlink"/>
    <w:basedOn w:val="DefaultParagraphFont"/>
    <w:uiPriority w:val="99"/>
    <w:semiHidden/>
    <w:unhideWhenUsed/>
    <w:rsid w:val="00D4499B"/>
    <w:rPr>
      <w:color w:val="0000FF"/>
      <w:u w:val="single"/>
    </w:rPr>
  </w:style>
  <w:style w:type="character" w:customStyle="1" w:styleId="mat-mdc-tooltip-trigger">
    <w:name w:val="mat-mdc-tooltip-trigger"/>
    <w:basedOn w:val="DefaultParagraphFont"/>
    <w:rsid w:val="00D4499B"/>
  </w:style>
  <w:style w:type="character" w:styleId="PlaceholderText">
    <w:name w:val="Placeholder Text"/>
    <w:basedOn w:val="DefaultParagraphFont"/>
    <w:uiPriority w:val="99"/>
    <w:semiHidden/>
    <w:rsid w:val="00D449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s%3A%2F%2Fvertexaisearch.cloud.google.com%2Fgrounding-api-redirect%2FAUZIYQGERxlJcTDWu96gz6dctTexGpXpCHir9fyUabwGlxcAIfqWvJvcWom2p4RRviYhO6MCkVLmlmaYoK0RtKNYjO5Sfc9NM_AEDHWw4pPEFHwVpCpuAzh0HHwWaF937oPu9DuVN62w9txHzvtAhtm_uMUSGqsHKcZEzYFK7SQR83dpfIhoc6bK0CWVLyCRlBO-XgctdG5eJ4Pz2UTaZda3_dHPaXtnIHksJasKQ81p" TargetMode="External"/><Relationship Id="rId13" Type="http://schemas.openxmlformats.org/officeDocument/2006/relationships/hyperlink" Target="https://www.google.com/url?sa=E&amp;q=https%3A%2F%2Fvertexaisearch.cloud.google.com%2Fgrounding-api-redirect%2FAUZIYQFExf6bypPrfqEVMTB5UNpe5zA1DKx5Wcmw7mM6XFa5gDIvbnSbheIPl3cJ4WDL06crB1yg7LqZVO9148n3p8CPukz1L1MVtcyLtI5jplVVrdzCdey0CZCnvPZWRgH9rbf5fvTWiW84bjJ0vWE4u7XdaYKFOTKMGTK5OodR6GZTjuYjnEc_bJg9pVp4SkL30br_v4vHrwzVuqFBDUr4S_xVI0MFHxeN7w%3D%3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sa=E&amp;q=https%3A%2F%2Fvertexaisearch.cloud.google.com%2Fgrounding-api-redirect%2FAUZIYQE0qw9Mc_xj19aipzm9NfExZ0hVYbClY5CMzsj62lZ30xK-RL--uOdvK8yKsvxFgP37KFUZUXtyrcSv2_y1Kz12HH7hx_PzSdF1BTsgUUb1fLssqFF2zkPGx_XabASWYsDLlnfsaznjE993Nsqkl4WGw_tQ1296sh7HWylqDZ-np2b-jGo35IYGbX1JYx5iDzKis4ahEZmOHbejABH696AgZA%3D%3D" TargetMode="External"/><Relationship Id="rId12" Type="http://schemas.openxmlformats.org/officeDocument/2006/relationships/hyperlink" Target="https://www.google.com/url?sa=E&amp;q=https%3A%2F%2Fvertexaisearch.cloud.google.com%2Fgrounding-api-redirect%2FAUZIYQFUuymxbJGzvW7kSINl8pd--znYdvSVQ-4qO9YWNn0ubGm4lH1YN8ET9DGkmUcPBncnqzq1foTdcAROIvf6HIwrAtu7hU9_K2aATAtkMsDNxwBxeHdNqhJ4mIMnxevOSlHMnKEG43-ikLBXJfq4DA3ZfLyiIwlqGkF3kQ%3D%3D" TargetMode="External"/><Relationship Id="rId17" Type="http://schemas.openxmlformats.org/officeDocument/2006/relationships/hyperlink" Target="https://www.google.com/url?sa=E&amp;q=https%3A%2F%2Fvertexaisearch.cloud.google.com%2Fgrounding-api-redirect%2FAUZIYQFUuymxbJGzvW7kSINl8pd--znYdvSVQ-4qO9YWNn0ubGm4lH1YN8ET9DGkmUcPBncnqzq1foTdcAROIvf6HIwrAtu7hU9_K2aATAtkMsDNxwBxeHdNqhJ4mIMnxevOSlHMnKEG43-ikLBXJfq4DA3ZfLyiIwlqGkF3kQ%3D%3D" TargetMode="External"/><Relationship Id="rId2" Type="http://schemas.openxmlformats.org/officeDocument/2006/relationships/styles" Target="styles.xml"/><Relationship Id="rId16" Type="http://schemas.openxmlformats.org/officeDocument/2006/relationships/hyperlink" Target="https://www.google.com/url?sa=E&amp;q=https%3A%2F%2Fvertexaisearch.cloud.google.com%2Fgrounding-api-redirect%2FAUZIYQGT_PdS13wllpUq2yrmtAmpok3kWRXyIyeqc2dXc5AMZmJklr5IJ8BsYd0X0_oMYKd9XMfVYST24FsRD99K5VCWAROSO4hjdybbESrxzQKLjzILQJ8LO6OPA-Hz8ykP7V6RZ2O9ZFGI8I9rHvGcRq4w7z3f2wWacecKbPT92_UqmQ0lIByAxHUKz6sWAmqATvNnu6PQ34gfvHvVJq-c" TargetMode="External"/><Relationship Id="rId1" Type="http://schemas.openxmlformats.org/officeDocument/2006/relationships/numbering" Target="numbering.xml"/><Relationship Id="rId6" Type="http://schemas.openxmlformats.org/officeDocument/2006/relationships/hyperlink" Target="https://www.google.com/url?sa=E&amp;q=https%3A%2F%2Fvertexaisearch.cloud.google.com%2Fgrounding-api-redirect%2FAUZIYQGERxlJcTDWu96gz6dctTexGpXpCHir9fyUabwGlxcAIfqWvJvcWom2p4RRviYhO6MCkVLmlmaYoK0RtKNYjO5Sfc9NM_AEDHWw4pPEFHwVpCpuAzh0HHwWaF937oPu9DuVN62w9txHzvtAhtm_uMUSGqsHKcZEzYFK7SQR83dpfIhoc6bK0CWVLyCRlBO-XgctdG5eJ4Pz2UTaZda3_dHPaXtnIHksJasKQ81p" TargetMode="External"/><Relationship Id="rId11" Type="http://schemas.openxmlformats.org/officeDocument/2006/relationships/hyperlink" Target="https://www.google.com/url?sa=E&amp;q=https%3A%2F%2Fvertexaisearch.cloud.google.com%2Fgrounding-api-redirect%2FAUZIYQFExf6bypPrfqEVMTB5UNpe5zA1DKx5Wcmw7mM6XFa5gDIvbnSbheIPl3cJ4WDL06crB1yg7LqZVO9148n3p8CPukz1L1MVtcyLtI5jplVVrdzCdey0CZCnvPZWRgH9rbf5fvTWiW84bjJ0vWE4u7XdaYKFOTKMGTK5OodR6GZTjuYjnEc_bJg9pVp4SkL30br_v4vHrwzVuqFBDUr4S_xVI0MFHxeN7w%3D%3D" TargetMode="External"/><Relationship Id="rId5" Type="http://schemas.openxmlformats.org/officeDocument/2006/relationships/hyperlink" Target="https://www.google.com/url?sa=E&amp;q=https%3A%2F%2Fvertexaisearch.cloud.google.com%2Fgrounding-api-redirect%2FAUZIYQFExf6bypPrfqEVMTB5UNpe5zA1DKx5Wcmw7mM6XFa5gDIvbnSbheIPl3cJ4WDL06crB1yg7LqZVO9148n3p8CPukz1L1MVtcyLtI5jplVVrdzCdey0CZCnvPZWRgH9rbf5fvTWiW84bjJ0vWE4u7XdaYKFOTKMGTK5OodR6GZTjuYjnEc_bJg9pVp4SkL30br_v4vHrwzVuqFBDUr4S_xVI0MFHxeN7w%3D%3D" TargetMode="External"/><Relationship Id="rId15" Type="http://schemas.openxmlformats.org/officeDocument/2006/relationships/hyperlink" Target="https://www.google.com/url?sa=E&amp;q=https%3A%2F%2Fvertexaisearch.cloud.google.com%2Fgrounding-api-redirect%2FAUZIYQE0qw9Mc_xj19aipzm9NfExZ0hVYbClY5CMzsj62lZ30xK-RL--uOdvK8yKsvxFgP37KFUZUXtyrcSv2_y1Kz12HH7hx_PzSdF1BTsgUUb1fLssqFF2zkPGx_XabASWYsDLlnfsaznjE993Nsqkl4WGw_tQ1296sh7HWylqDZ-np2b-jGo35IYGbX1JYx5iDzKis4ahEZmOHbejABH696AgZA%3D%3D" TargetMode="External"/><Relationship Id="rId10" Type="http://schemas.openxmlformats.org/officeDocument/2006/relationships/hyperlink" Target="https://www.google.com/url?sa=E&amp;q=https%3A%2F%2Fvertexaisearch.cloud.google.com%2Fgrounding-api-redirect%2FAUZIYQGT_PdS13wllpUq2yrmtAmpok3kWRXyIyeqc2dXc5AMZmJklr5IJ8BsYd0X0_oMYKd9XMfVYST24FsRD99K5VCWAROSO4hjdybbESrxzQKLjzILQJ8LO6OPA-Hz8ykP7V6RZ2O9ZFGI8I9rHvGcRq4w7z3f2wWacecKbPT92_UqmQ0lIByAxHUKz6sWAmqATvNnu6PQ34gfvHvVJq-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url?sa=E&amp;q=https%3A%2F%2Fvertexaisearch.cloud.google.com%2Fgrounding-api-redirect%2FAUZIYQFExf6bypPrfqEVMTB5UNpe5zA1DKx5Wcmw7mM6XFa5gDIvbnSbheIPl3cJ4WDL06crB1yg7LqZVO9148n3p8CPukz1L1MVtcyLtI5jplVVrdzCdey0CZCnvPZWRgH9rbf5fvTWiW84bjJ0vWE4u7XdaYKFOTKMGTK5OodR6GZTjuYjnEc_bJg9pVp4SkL30br_v4vHrwzVuqFBDUr4S_xVI0MFHxeN7w%3D%3D" TargetMode="External"/><Relationship Id="rId14" Type="http://schemas.openxmlformats.org/officeDocument/2006/relationships/hyperlink" Target="https://www.google.com/url?sa=E&amp;q=https%3A%2F%2Fvertexaisearch.cloud.google.com%2Fgrounding-api-redirect%2FAUZIYQGERxlJcTDWu96gz6dctTexGpXpCHir9fyUabwGlxcAIfqWvJvcWom2p4RRviYhO6MCkVLmlmaYoK0RtKNYjO5Sfc9NM_AEDHWw4pPEFHwVpCpuAzh0HHwWaF937oPu9DuVN62w9txHzvtAhtm_uMUSGqsHKcZEzYFK7SQR83dpfIhoc6bK0CWVLyCRlBO-XgctdG5eJ4Pz2UTaZda3_dHPaXtnIHksJasKQ81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1655</Words>
  <Characters>9434</Characters>
  <Application>Microsoft Office Word</Application>
  <DocSecurity>0</DocSecurity>
  <Lines>78</Lines>
  <Paragraphs>22</Paragraphs>
  <ScaleCrop>false</ScaleCrop>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6</cp:revision>
  <dcterms:created xsi:type="dcterms:W3CDTF">2026-01-25T17:45:00Z</dcterms:created>
  <dcterms:modified xsi:type="dcterms:W3CDTF">2026-02-06T13:39:00Z</dcterms:modified>
</cp:coreProperties>
</file>