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C3E75" w14:textId="77777777" w:rsidR="00CD4174" w:rsidRPr="00CD4174" w:rsidRDefault="00CD4174" w:rsidP="00CD4174">
      <w:pPr>
        <w:spacing w:after="0" w:line="240" w:lineRule="auto"/>
        <w:outlineLvl w:val="2"/>
        <w:rPr>
          <w:rFonts w:eastAsia="Times New Roman" w:cs="Arial"/>
          <w:b/>
          <w:bCs/>
          <w:color w:val="1F1F1F"/>
          <w:kern w:val="0"/>
          <w:sz w:val="32"/>
          <w:szCs w:val="32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sz w:val="32"/>
          <w:szCs w:val="32"/>
          <w:bdr w:val="none" w:sz="0" w:space="0" w:color="auto" w:frame="1"/>
          <w14:ligatures w14:val="none"/>
        </w:rPr>
        <w:t>High-Level Design (HLD): GSCX Institutional CSP Architecture</w:t>
      </w:r>
    </w:p>
    <w:p w14:paraId="3C1136A9" w14:textId="77777777" w:rsidR="00CD4174" w:rsidRDefault="00CD4174" w:rsidP="00CD4174">
      <w:p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</w:p>
    <w:p w14:paraId="0024C282" w14:textId="79974A7B" w:rsidR="00CD4174" w:rsidRPr="00CD4174" w:rsidRDefault="00CD4174" w:rsidP="00CD4174">
      <w:p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This High-Level Design (HLD) illustrates the "Hub-and-Spoke" architecture required for a twofold (Tier 1 &amp; Tier 2) Custodial Service Provider (CSP) graduating to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Class F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. The design emphasizes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Technical Substance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in Bermuda while leveraging the high-availability "Fault Sustainable" power of the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Switch PRIME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Tier 5® campus.</w:t>
      </w:r>
    </w:p>
    <w:p w14:paraId="1D46AAF4" w14:textId="5474569F" w:rsidR="00CD4174" w:rsidRPr="00CD4174" w:rsidRDefault="00CD4174" w:rsidP="005C4495">
      <w:p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</w:p>
    <w:p w14:paraId="3B190F2F" w14:textId="77777777" w:rsidR="00CD4174" w:rsidRPr="00CD4174" w:rsidRDefault="00CD4174" w:rsidP="00CD4174">
      <w:pPr>
        <w:spacing w:before="120" w:after="120" w:line="240" w:lineRule="auto"/>
        <w:outlineLvl w:val="2"/>
        <w:rPr>
          <w:rFonts w:eastAsia="Times New Roman" w:cs="Arial"/>
          <w:b/>
          <w:bCs/>
          <w:color w:val="1F1F1F"/>
          <w:kern w:val="0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bdr w:val="none" w:sz="0" w:space="0" w:color="auto" w:frame="1"/>
          <w14:ligatures w14:val="none"/>
        </w:rPr>
        <w:t>1. Functional Architecture Overview</w:t>
      </w:r>
    </w:p>
    <w:p w14:paraId="4B685D4F" w14:textId="77777777" w:rsidR="00CD4174" w:rsidRPr="00CD4174" w:rsidRDefault="00CD4174" w:rsidP="00CD4174">
      <w:pPr>
        <w:spacing w:after="24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The system is split into three distinct zones to isolate the "Cold" (Mainframe) from the "Hot" (Cloud) while maintaining local Bermuda sovereignty over the signing keys.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"/>
        <w:gridCol w:w="1892"/>
        <w:gridCol w:w="1727"/>
        <w:gridCol w:w="4322"/>
      </w:tblGrid>
      <w:tr w:rsidR="00CD4174" w:rsidRPr="00CD4174" w14:paraId="439A6BC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D0745D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Zone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0D1DBA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Component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3A51D9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Location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62AD2C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Role</w:t>
            </w:r>
          </w:p>
        </w:tc>
      </w:tr>
      <w:tr w:rsidR="00CD4174" w:rsidRPr="00CD4174" w14:paraId="26F4048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261980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Zone A: Vault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ACF34E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IBM </w:t>
            </w:r>
            <w:proofErr w:type="spellStart"/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LinuxONE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FECCD4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Switch PRIME (TX)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04C485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Primary "Cold" processing. Executes Secure Execution enclaves for institutional transactions.</w:t>
            </w:r>
          </w:p>
        </w:tc>
      </w:tr>
      <w:tr w:rsidR="00CD4174" w:rsidRPr="00CD4174" w14:paraId="409D757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5F4DB7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Zone B: Control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356409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Bermuda Control Node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4B7F2A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QuoVadis (Bermuda)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A5C8D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Regulatory Hub.</w:t>
            </w: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Houses the Hardware Security Modules (HSMs) and the "Kill Switch" interface.</w:t>
            </w:r>
          </w:p>
        </w:tc>
      </w:tr>
      <w:tr w:rsidR="00CD4174" w:rsidRPr="00CD4174" w14:paraId="1E9CB6B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AF89A7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Zone C: API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40B372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IBM Cloud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30E5EB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Hyper Protect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F1497B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Hot Interface.</w:t>
            </w: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Manages user sessions, real-time balances, and external gateway traffic.</w:t>
            </w:r>
          </w:p>
        </w:tc>
      </w:tr>
    </w:tbl>
    <w:p w14:paraId="240A1A53" w14:textId="77777777" w:rsidR="00CD4174" w:rsidRPr="00CD4174" w:rsidRDefault="00CD4174" w:rsidP="00CD4174">
      <w:pPr>
        <w:spacing w:before="120" w:after="120" w:line="240" w:lineRule="auto"/>
        <w:outlineLvl w:val="2"/>
        <w:rPr>
          <w:rFonts w:eastAsia="Times New Roman" w:cs="Arial"/>
          <w:b/>
          <w:bCs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2. System Design Diagram (High-Level)</w:t>
      </w:r>
    </w:p>
    <w:p w14:paraId="32A0B1A7" w14:textId="77777777" w:rsidR="00CD4174" w:rsidRPr="00CD4174" w:rsidRDefault="00CD4174" w:rsidP="00CD4174">
      <w:p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The following diagram represents the secure traffic flow and the multi-sig authorization path required for an institutional withdrawal.</w:t>
      </w:r>
    </w:p>
    <w:p w14:paraId="59CC22CA" w14:textId="77777777" w:rsidR="00CD4174" w:rsidRPr="00CD4174" w:rsidRDefault="00CD4174" w:rsidP="00CD4174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Request Initiation: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A client initiates a request via the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Zone C (IBM Cloud)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interface.</w:t>
      </w:r>
    </w:p>
    <w:p w14:paraId="075F9865" w14:textId="77777777" w:rsidR="00CD4174" w:rsidRPr="00CD4174" w:rsidRDefault="00CD4174" w:rsidP="00CD4174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Security Filtering: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Traffic passes through a dedicated API Gateway in Zone C for DDoS mitigation and WAF filtering.</w:t>
      </w:r>
    </w:p>
    <w:p w14:paraId="79661B93" w14:textId="77777777" w:rsidR="00CD4174" w:rsidRPr="00CD4174" w:rsidRDefault="00CD4174" w:rsidP="00CD4174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Bermuda Policy Check: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The request is routed to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Zone B (Bermuda)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, where the local CISO/MLRO or automated policy engine verifies compliance against BMA-approved "</w:t>
      </w:r>
      <w:proofErr w:type="spellStart"/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Greenlisted</w:t>
      </w:r>
      <w:proofErr w:type="spellEnd"/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" addresses.</w:t>
      </w:r>
    </w:p>
    <w:p w14:paraId="5D3CE224" w14:textId="77777777" w:rsidR="00CD4174" w:rsidRPr="00CD4174" w:rsidRDefault="00CD4174" w:rsidP="00CD4174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Mainframe Execution: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Once validated in Bermuda, a "Policy Token" is sent to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Zone A (Austin)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. The IBM </w:t>
      </w:r>
      <w:proofErr w:type="spellStart"/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LinuxONE</w:t>
      </w:r>
      <w:proofErr w:type="spellEnd"/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decrypts the request within a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Secure Service Container (SSC)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.</w:t>
      </w:r>
    </w:p>
    <w:p w14:paraId="700D0E9A" w14:textId="67EB99B3" w:rsidR="00CD4174" w:rsidRPr="00CD4174" w:rsidRDefault="00CD4174" w:rsidP="00CD4174">
      <w:pPr>
        <w:numPr>
          <w:ilvl w:val="0"/>
          <w:numId w:val="1"/>
        </w:num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Final Bermuda Sign-Off: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The Mainframe generates a transaction payload, which requires a cryptographic signature from the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Zone B HSMs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physically located in Hamilton to be broadcast to the blockchain.</w:t>
      </w:r>
    </w:p>
    <w:p w14:paraId="3FF62DBF" w14:textId="77777777" w:rsidR="00CD4174" w:rsidRPr="00CD4174" w:rsidRDefault="00CD4174" w:rsidP="00CD4174">
      <w:pPr>
        <w:spacing w:before="120" w:after="120" w:line="240" w:lineRule="auto"/>
        <w:outlineLvl w:val="2"/>
        <w:rPr>
          <w:rFonts w:eastAsia="Times New Roman" w:cs="Arial"/>
          <w:b/>
          <w:bCs/>
          <w:color w:val="1F1F1F"/>
          <w:kern w:val="0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bdr w:val="none" w:sz="0" w:space="0" w:color="auto" w:frame="1"/>
          <w14:ligatures w14:val="none"/>
        </w:rPr>
        <w:t>3. Class M to Class F Technical Graduation Path</w:t>
      </w:r>
    </w:p>
    <w:p w14:paraId="6245BF58" w14:textId="77777777" w:rsidR="00CD4174" w:rsidRPr="00CD4174" w:rsidRDefault="00CD4174" w:rsidP="00CD4174">
      <w:pPr>
        <w:spacing w:after="24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The design allows for seamless graduation by adjusting the "Gatekeeper" logic in the Bermuda Control Node.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3509"/>
        <w:gridCol w:w="3968"/>
      </w:tblGrid>
      <w:tr w:rsidR="00CD4174" w:rsidRPr="00CD4174" w14:paraId="40D64510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A6D56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lastRenderedPageBreak/>
              <w:t>Feature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D131F6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Class M (Sandbox Phase)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76B3A4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Class F (Full Graduation)</w:t>
            </w:r>
          </w:p>
        </w:tc>
      </w:tr>
      <w:tr w:rsidR="00CD4174" w:rsidRPr="00CD4174" w14:paraId="460F95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245046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AUM Ceiling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888FD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Restricted by BMA (e.g., </w:t>
            </w: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100 </w:t>
            </w:r>
            <w:proofErr w:type="spellStart"/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mGBP</w:t>
            </w:r>
            <w:proofErr w:type="spellEnd"/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1C199D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Unrestricted</w:t>
            </w: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; scaled by Mainframe IFLs.</w:t>
            </w:r>
          </w:p>
        </w:tc>
      </w:tr>
      <w:tr w:rsidR="00CD4174" w:rsidRPr="00CD4174" w14:paraId="3866366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EF8D15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Approval Logic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044548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Manual "4-Eyes" review in Bermuda for all </w:t>
            </w:r>
            <w:proofErr w:type="spellStart"/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txs</w:t>
            </w:r>
            <w:proofErr w:type="spellEnd"/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E2AF26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Automated policy engine with manual spot-checks.</w:t>
            </w:r>
          </w:p>
        </w:tc>
      </w:tr>
      <w:tr w:rsidR="00CD4174" w:rsidRPr="00CD4174" w14:paraId="165266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41A89E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Disaster Recovery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EE8CC4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Warm standby in IBM Cloud.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9B0D19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Active-Active redundancy via Zone B node.</w:t>
            </w:r>
          </w:p>
        </w:tc>
      </w:tr>
      <w:tr w:rsidR="00CD4174" w:rsidRPr="00CD4174" w14:paraId="5D8A8FE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2E5919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Auditing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1D0752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Periodic manual data extracts for BMA.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AEBCB7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Real-time "BMA View" API for continuous oversight.</w:t>
            </w:r>
          </w:p>
        </w:tc>
      </w:tr>
    </w:tbl>
    <w:p w14:paraId="1208BCC2" w14:textId="77777777" w:rsidR="00CD4174" w:rsidRPr="00CD4174" w:rsidRDefault="00CD4174" w:rsidP="00CD4174">
      <w:pPr>
        <w:spacing w:before="120" w:after="120" w:line="240" w:lineRule="auto"/>
        <w:outlineLvl w:val="2"/>
        <w:rPr>
          <w:rFonts w:eastAsia="Times New Roman" w:cs="Arial"/>
          <w:b/>
          <w:bCs/>
          <w:color w:val="1F1F1F"/>
          <w:kern w:val="0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bdr w:val="none" w:sz="0" w:space="0" w:color="auto" w:frame="1"/>
          <w14:ligatures w14:val="none"/>
        </w:rPr>
        <w:t>4. Estimated Implementation Costs (</w:t>
      </w:r>
      <w:proofErr w:type="spellStart"/>
      <w:r w:rsidRPr="00CD4174">
        <w:rPr>
          <w:rFonts w:eastAsia="Times New Roman" w:cs="Arial"/>
          <w:b/>
          <w:bCs/>
          <w:color w:val="1F1F1F"/>
          <w:kern w:val="0"/>
          <w:bdr w:val="none" w:sz="0" w:space="0" w:color="auto" w:frame="1"/>
          <w14:ligatures w14:val="none"/>
        </w:rPr>
        <w:t>mGBP</w:t>
      </w:r>
      <w:proofErr w:type="spellEnd"/>
      <w:r w:rsidRPr="00CD4174">
        <w:rPr>
          <w:rFonts w:eastAsia="Times New Roman" w:cs="Arial"/>
          <w:b/>
          <w:bCs/>
          <w:color w:val="1F1F1F"/>
          <w:kern w:val="0"/>
          <w:bdr w:val="none" w:sz="0" w:space="0" w:color="auto" w:frame="1"/>
          <w14:ligatures w14:val="none"/>
        </w:rPr>
        <w:t>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3887"/>
        <w:gridCol w:w="1590"/>
      </w:tblGrid>
      <w:tr w:rsidR="00CD4174" w:rsidRPr="00CD4174" w14:paraId="20C648A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79D5D7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Category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0D45FC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42CD2E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Cost (</w:t>
            </w:r>
            <w:proofErr w:type="spellStart"/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mGBP</w:t>
            </w:r>
            <w:proofErr w:type="spellEnd"/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)</w:t>
            </w:r>
          </w:p>
        </w:tc>
      </w:tr>
      <w:tr w:rsidR="00CD4174" w:rsidRPr="00CD4174" w14:paraId="79E413C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DD5068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Hardware (Zone 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6292A7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IBM </w:t>
            </w:r>
            <w:proofErr w:type="spellStart"/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LinuxONE</w:t>
            </w:r>
            <w:proofErr w:type="spellEnd"/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Emperor 4 (Austin)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A0E7A9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1.850 – 2.450</w:t>
            </w:r>
          </w:p>
        </w:tc>
      </w:tr>
      <w:tr w:rsidR="00CD4174" w:rsidRPr="00CD4174" w14:paraId="160102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D8EF19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Substance (Zone B)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597882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Local HSMs &amp; QuoVadis Colocation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70F8AD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0.050 – 0.080</w:t>
            </w:r>
          </w:p>
        </w:tc>
      </w:tr>
      <w:tr w:rsidR="00CD4174" w:rsidRPr="00CD4174" w14:paraId="1CC4BC8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D55959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Cloud (Zone C)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D1943B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IBM Hyper Protect (Annual Subscription)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3080A9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0.065 – 0.090</w:t>
            </w:r>
          </w:p>
        </w:tc>
      </w:tr>
      <w:tr w:rsidR="00CD4174" w:rsidRPr="00CD4174" w14:paraId="6C447FF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810E16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Total HLD Setup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063EAD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9F6723" w14:textId="77777777" w:rsidR="00CD4174" w:rsidRPr="00CD4174" w:rsidRDefault="00CD4174" w:rsidP="00CD4174">
            <w:pPr>
              <w:spacing w:after="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CD417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1.965 – 2.620</w:t>
            </w:r>
          </w:p>
        </w:tc>
      </w:tr>
    </w:tbl>
    <w:p w14:paraId="2C7DD2C4" w14:textId="77777777" w:rsidR="00CD4174" w:rsidRPr="00CD4174" w:rsidRDefault="00CD4174" w:rsidP="00CD4174">
      <w:pPr>
        <w:spacing w:before="120" w:after="120" w:line="240" w:lineRule="auto"/>
        <w:outlineLvl w:val="2"/>
        <w:rPr>
          <w:rFonts w:eastAsia="Times New Roman" w:cs="Arial"/>
          <w:b/>
          <w:bCs/>
          <w:color w:val="1F1F1F"/>
          <w:kern w:val="0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bdr w:val="none" w:sz="0" w:space="0" w:color="auto" w:frame="1"/>
          <w14:ligatures w14:val="none"/>
        </w:rPr>
        <w:t>5. Summary of Resilience</w:t>
      </w:r>
    </w:p>
    <w:p w14:paraId="720B7361" w14:textId="77777777" w:rsidR="00CD4174" w:rsidRPr="00CD4174" w:rsidRDefault="00CD4174" w:rsidP="00CD4174">
      <w:p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This HLD ensures that even if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Switch PRIME (Zone A)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</w:t>
      </w:r>
      <w:proofErr w:type="gramStart"/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experienced</w:t>
      </w:r>
      <w:proofErr w:type="gramEnd"/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a total connectivity loss, the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Bermuda Control Node (Zone B)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retains the ability to halt all transactions or initiate a recovery via the mirrored ledger, satisfying the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DABA Section 15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requirement for "Prudent Business Conduct."</w:t>
      </w:r>
    </w:p>
    <w:p w14:paraId="3C5649B3" w14:textId="77777777" w:rsidR="00CD4174" w:rsidRDefault="00CD4174" w:rsidP="00CD4174">
      <w:p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Next Step: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Would you like me to create the </w:t>
      </w:r>
      <w:r w:rsidRPr="00CD417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Network Port &amp; Protocol Map</w:t>
      </w: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(Technical Deep-Dive) that details exactly how the Austin Mainframe and Bermuda HSMs communicate over a dedicated VPN?</w:t>
      </w:r>
    </w:p>
    <w:p w14:paraId="2E7304B9" w14:textId="77777777" w:rsidR="00CD4174" w:rsidRPr="00CD4174" w:rsidRDefault="00CD4174" w:rsidP="00CD4174">
      <w:p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</w:p>
    <w:p w14:paraId="638DC84E" w14:textId="77777777" w:rsidR="00CD4174" w:rsidRPr="00CD4174" w:rsidRDefault="00CD4174" w:rsidP="00CD4174">
      <w:pPr>
        <w:spacing w:after="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hyperlink r:id="rId5" w:tgtFrame="_blank" w:history="1">
        <w:r w:rsidRPr="00CD4174">
          <w:rPr>
            <w:rFonts w:eastAsia="Times New Roman" w:cs="Arial"/>
            <w:color w:val="0B57D0"/>
            <w:kern w:val="0"/>
            <w:sz w:val="22"/>
            <w:szCs w:val="22"/>
            <w:u w:val="single"/>
            <w:bdr w:val="none" w:sz="0" w:space="0" w:color="auto" w:frame="1"/>
            <w14:ligatures w14:val="none"/>
          </w:rPr>
          <w:t>Hybrid Cloud Architecture Part 1: Connectivity</w:t>
        </w:r>
      </w:hyperlink>
    </w:p>
    <w:p w14:paraId="514A4D73" w14:textId="77777777" w:rsidR="00CD4174" w:rsidRPr="00CD4174" w:rsidRDefault="00CD4174" w:rsidP="00CD4174">
      <w:pPr>
        <w:spacing w:after="24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CD417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This video provides an essential foundation for your HLD by explaining how to securely connect various cloud and on-premises environments in a hybrid architecture.</w:t>
      </w:r>
    </w:p>
    <w:p w14:paraId="35F23FB5" w14:textId="77777777" w:rsidR="00A03483" w:rsidRDefault="00A03483"/>
    <w:sectPr w:rsidR="00A03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1139F"/>
    <w:multiLevelType w:val="multilevel"/>
    <w:tmpl w:val="BC745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08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AMCYwMzUzMLAxMDIyUdpeDU4uLM/DyQAsNaAIw1P54sAAAA"/>
  </w:docVars>
  <w:rsids>
    <w:rsidRoot w:val="00CD4174"/>
    <w:rsid w:val="005020E7"/>
    <w:rsid w:val="005C4495"/>
    <w:rsid w:val="006B543D"/>
    <w:rsid w:val="0098613E"/>
    <w:rsid w:val="00A03483"/>
    <w:rsid w:val="00CD4174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A4A91"/>
  <w15:chartTrackingRefBased/>
  <w15:docId w15:val="{FA91F064-9B68-4E7B-964A-80C03493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4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D4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1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1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1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1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1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17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D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D417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D4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p2In_la9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2026-02-27T11:45:00Z</dcterms:created>
  <dcterms:modified xsi:type="dcterms:W3CDTF">2026-02-27T11:51:00Z</dcterms:modified>
</cp:coreProperties>
</file>