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06C9" w14:textId="77777777" w:rsidR="00E8322F" w:rsidRPr="00E8322F" w:rsidRDefault="00E8322F" w:rsidP="00E8322F">
      <w:pPr>
        <w:spacing w:after="0" w:line="300" w:lineRule="atLeast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14:ligatures w14:val="none"/>
        </w:rPr>
        <w:t>2025 LMIC International trade data survey by regions</w:t>
      </w:r>
    </w:p>
    <w:p w14:paraId="4A7644E0" w14:textId="77777777" w:rsidR="00E8322F" w:rsidRDefault="00E8322F" w:rsidP="00E8322F">
      <w:pPr>
        <w:spacing w:after="270" w:line="300" w:lineRule="atLeast"/>
        <w:rPr>
          <w:rFonts w:ascii="Arial" w:eastAsia="Times New Roman" w:hAnsi="Arial" w:cs="Arial"/>
          <w:color w:val="5B5B64"/>
          <w:kern w:val="0"/>
          <w:sz w:val="18"/>
          <w:szCs w:val="18"/>
          <w14:ligatures w14:val="none"/>
        </w:rPr>
      </w:pPr>
    </w:p>
    <w:p w14:paraId="31F0FD8A" w14:textId="68F64307" w:rsidR="00E8322F" w:rsidRPr="00E8322F" w:rsidRDefault="00E8322F" w:rsidP="00E8322F">
      <w:pPr>
        <w:spacing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 2025, the international trade landscape for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Low- and Middle-Income Countries (LMICs)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is defined by a paradox: a strong recovery in merchandise volumes (projected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3.3% growth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by the WTO) countered by severe geopolitical "chokepoints" (Red Sea, Panama Canal) and a persistent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$2.5 trillion trade finance gap.</w:t>
      </w:r>
    </w:p>
    <w:p w14:paraId="053B5F25" w14:textId="77777777" w:rsidR="00E8322F" w:rsidRPr="00E8322F" w:rsidRDefault="00E8322F" w:rsidP="00E8322F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 following survey synthesizes data from the World Bank, WTO, and the 2025 ICC Global Trade Survey.</w:t>
      </w:r>
    </w:p>
    <w:p w14:paraId="51BDB0E8" w14:textId="77777777" w:rsidR="00E8322F" w:rsidRPr="00E8322F" w:rsidRDefault="00E8322F" w:rsidP="00E8322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322F">
        <w:rPr>
          <w:rFonts w:ascii="Times New Roman" w:eastAsia="Times New Roman" w:hAnsi="Times New Roman" w:cs="Times New Roman"/>
          <w:kern w:val="0"/>
          <w14:ligatures w14:val="none"/>
        </w:rPr>
        <w:pict w14:anchorId="62461262">
          <v:rect id="_x0000_i1032" style="width:712.8pt;height:1.5pt" o:hrpct="0" o:hralign="center" o:hrstd="t" o:hr="t" fillcolor="#a0a0a0" stroked="f"/>
        </w:pict>
      </w:r>
    </w:p>
    <w:p w14:paraId="7538A366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Sub-Saharan Africa (SSA)</w:t>
      </w:r>
    </w:p>
    <w:p w14:paraId="18E16835" w14:textId="77777777" w:rsidR="00E8322F" w:rsidRPr="00E8322F" w:rsidRDefault="00E8322F" w:rsidP="00E8322F">
      <w:pPr>
        <w:numPr>
          <w:ilvl w:val="0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Volume Growth: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Projected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4.8%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increase in exports for 2025.</w:t>
      </w:r>
    </w:p>
    <w:p w14:paraId="1A677F51" w14:textId="77777777" w:rsidR="00E8322F" w:rsidRPr="00E8322F" w:rsidRDefault="00E8322F" w:rsidP="00E8322F">
      <w:pPr>
        <w:numPr>
          <w:ilvl w:val="0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Key Driver: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The </w:t>
      </w:r>
      <w:proofErr w:type="spellStart"/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AfCFTA</w:t>
      </w:r>
      <w:proofErr w:type="spellEnd"/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(African Continental Free Trade Area)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has reached "active trading" status for 30+ countries. Intra-African trade is expected to rise by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22%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in 2025.</w:t>
      </w:r>
    </w:p>
    <w:p w14:paraId="0F8BF389" w14:textId="77777777" w:rsidR="00E8322F" w:rsidRPr="00E8322F" w:rsidRDefault="00E8322F" w:rsidP="00E8322F">
      <w:pPr>
        <w:numPr>
          <w:ilvl w:val="0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Finance Survey:</w:t>
      </w:r>
    </w:p>
    <w:p w14:paraId="070A8F96" w14:textId="77777777" w:rsidR="00E8322F" w:rsidRPr="00E8322F" w:rsidRDefault="00E8322F" w:rsidP="00E8322F">
      <w:pPr>
        <w:numPr>
          <w:ilvl w:val="1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Rejection Rate: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Remains the highest globally at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28%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for SMEs.</w:t>
      </w:r>
    </w:p>
    <w:p w14:paraId="3B33258A" w14:textId="77777777" w:rsidR="00E8322F" w:rsidRPr="00E8322F" w:rsidRDefault="00E8322F" w:rsidP="00E8322F">
      <w:pPr>
        <w:numPr>
          <w:ilvl w:val="1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 "Currency Gap":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 shortage of US Dollars in Nigeria, Ethiopia, and Kenya is forcing traders toward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local currency settlement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and "Pan-African Payment and Settlement System" (PAPSS).</w:t>
      </w:r>
    </w:p>
    <w:p w14:paraId="3433F3E1" w14:textId="77777777" w:rsidR="00E8322F" w:rsidRDefault="00E8322F" w:rsidP="00E8322F">
      <w:pPr>
        <w:numPr>
          <w:ilvl w:val="1"/>
          <w:numId w:val="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Commodity Shift: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Sharp rise in "Critical Mineral" exports (Lithium, Cobalt) to fuel the global EV transition.</w:t>
      </w:r>
    </w:p>
    <w:p w14:paraId="56B6F9BD" w14:textId="77777777" w:rsidR="00E8322F" w:rsidRPr="00E8322F" w:rsidRDefault="00E8322F" w:rsidP="00E8322F">
      <w:pPr>
        <w:spacing w:after="45" w:line="300" w:lineRule="atLeast"/>
        <w:ind w:left="144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81FC2EC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Middle East &amp; North Africa (MENA)</w:t>
      </w:r>
    </w:p>
    <w:p w14:paraId="0585BCD1" w14:textId="77777777" w:rsidR="00E8322F" w:rsidRPr="00E8322F" w:rsidRDefault="00E8322F" w:rsidP="00E8322F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Volume Growth: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Projected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3.6%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(Non-oil sectors).</w:t>
      </w:r>
    </w:p>
    <w:p w14:paraId="76A952AC" w14:textId="77777777" w:rsidR="00E8322F" w:rsidRPr="00E8322F" w:rsidRDefault="00E8322F" w:rsidP="00E8322F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Key Driver: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The "Corridor Effect." The UAE and Saudi Arabia are aggressively funding trade corridors into Egypt, Jordan, and Morocco to secure food supply chains.</w:t>
      </w:r>
    </w:p>
    <w:p w14:paraId="58D58BE4" w14:textId="77777777" w:rsidR="00E8322F" w:rsidRPr="00E8322F" w:rsidRDefault="00E8322F" w:rsidP="00E8322F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Finance Survey:</w:t>
      </w:r>
    </w:p>
    <w:p w14:paraId="136489F7" w14:textId="77777777" w:rsidR="00E8322F" w:rsidRPr="00E8322F" w:rsidRDefault="00E8322F" w:rsidP="00E8322F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Digitization: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82% of MENA banks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have implemented electronic Bill of Lading (</w:t>
      </w:r>
      <w:proofErr w:type="spellStart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eBL</w:t>
      </w:r>
      <w:proofErr w:type="spellEnd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) capabilities as of early 2025.</w:t>
      </w:r>
    </w:p>
    <w:p w14:paraId="130D7DEF" w14:textId="77777777" w:rsidR="00E8322F" w:rsidRPr="00E8322F" w:rsidRDefault="00E8322F" w:rsidP="00E8322F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Suez Canal Impact: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North African trade costs remain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15–20% higher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than 2023 levels due to the continued rerouting of ships around the Cape of Good Hope.</w:t>
      </w:r>
    </w:p>
    <w:p w14:paraId="07A4EBF4" w14:textId="77777777" w:rsidR="00E8322F" w:rsidRDefault="00E8322F" w:rsidP="00E8322F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Remittance Trade: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Egypt has seen a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25% surge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in trade-related remittances following the unification of its exchange rate.</w:t>
      </w:r>
    </w:p>
    <w:p w14:paraId="0727282B" w14:textId="77777777" w:rsidR="00E8322F" w:rsidRPr="00E8322F" w:rsidRDefault="00E8322F" w:rsidP="00E8322F">
      <w:pPr>
        <w:spacing w:after="45" w:line="300" w:lineRule="atLeast"/>
        <w:ind w:left="144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CFCB6F9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Developing Asia (East &amp; South Asia)</w:t>
      </w:r>
    </w:p>
    <w:p w14:paraId="6604454C" w14:textId="77777777" w:rsidR="00E8322F" w:rsidRPr="00E8322F" w:rsidRDefault="00E8322F" w:rsidP="00E8322F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Volume Growth: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4.2%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(Highest among all LMIC regions).</w:t>
      </w:r>
    </w:p>
    <w:p w14:paraId="4CE36274" w14:textId="77777777" w:rsidR="00E8322F" w:rsidRPr="00E8322F" w:rsidRDefault="00E8322F" w:rsidP="00E8322F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Key Driver: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The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"China Plus One"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strategy. LMICs like Vietnam, Indonesia, and India are seeing a massive influx of intermediate goods imports from China, which are then processed and exported to the West.</w:t>
      </w:r>
    </w:p>
    <w:p w14:paraId="4A44E0EB" w14:textId="77777777" w:rsidR="00E8322F" w:rsidRPr="00E8322F" w:rsidRDefault="00E8322F" w:rsidP="00E8322F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Finance Survey:</w:t>
      </w:r>
    </w:p>
    <w:p w14:paraId="4F757CF9" w14:textId="77777777" w:rsidR="00E8322F" w:rsidRPr="00E8322F" w:rsidRDefault="00E8322F" w:rsidP="00E8322F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Supply Chain Finance (SCF):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Asia leads the world in SCF adoption.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65% of large Asian corporates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now offer early-payment programs to their SME suppliers.</w:t>
      </w:r>
    </w:p>
    <w:p w14:paraId="694841FC" w14:textId="77777777" w:rsidR="00E8322F" w:rsidRDefault="00E8322F" w:rsidP="00E8322F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 Gap: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Despite being the most active trading region, Asia still accounts for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$1.5 trillion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of the global trade finance gap due to the sheer volume of SME participants.</w:t>
      </w:r>
    </w:p>
    <w:p w14:paraId="2778C1DE" w14:textId="77777777" w:rsidR="00E8322F" w:rsidRPr="00E8322F" w:rsidRDefault="00E8322F" w:rsidP="00E8322F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14183F1C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Latin America &amp; The Caribbean (LAC)</w:t>
      </w:r>
    </w:p>
    <w:p w14:paraId="0139D17E" w14:textId="77777777" w:rsidR="00E8322F" w:rsidRPr="00E8322F" w:rsidRDefault="00E8322F" w:rsidP="00E8322F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Volume Growth: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3.2%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22268AB8" w14:textId="77777777" w:rsidR="00E8322F" w:rsidRPr="00E8322F" w:rsidRDefault="00E8322F" w:rsidP="00E8322F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Key Driver: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gramStart"/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Near-shoring</w:t>
      </w:r>
      <w:proofErr w:type="gramEnd"/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Mexico remains the dominant trade partner for the US, but 2025 data </w:t>
      </w:r>
      <w:proofErr w:type="gramStart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shows</w:t>
      </w:r>
      <w:proofErr w:type="gramEnd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 "Secondary Wave" of manufacturing moving into Costa Rica, Colombia, and the Dominican Republic.</w:t>
      </w:r>
    </w:p>
    <w:p w14:paraId="3BA4744F" w14:textId="77777777" w:rsidR="00E8322F" w:rsidRPr="00E8322F" w:rsidRDefault="00E8322F" w:rsidP="00E8322F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 Finance Survey:</w:t>
      </w:r>
    </w:p>
    <w:p w14:paraId="2F0EDA46" w14:textId="77777777" w:rsidR="00E8322F" w:rsidRPr="00E8322F" w:rsidRDefault="00E8322F" w:rsidP="00E8322F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ESG Compliance: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LAC is the leader in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Sustainability-Linked Trade Finance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.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55% of trade loans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in Brazil and Chile now include "green clauses" related to deforestation-free supply chains.</w:t>
      </w:r>
    </w:p>
    <w:p w14:paraId="67D869DF" w14:textId="77777777" w:rsidR="00E8322F" w:rsidRPr="00E8322F" w:rsidRDefault="00E8322F" w:rsidP="00E8322F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Caribbean Vulnerability: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De-risking (the withdrawal of US correspondent banks) continues to be the #1 hurdle for Caribbean traders, increasing the cost of a simple Letter of Credit by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30%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compared to the global average.</w:t>
      </w:r>
    </w:p>
    <w:p w14:paraId="746283EC" w14:textId="77777777" w:rsidR="00E8322F" w:rsidRPr="00E8322F" w:rsidRDefault="00E8322F" w:rsidP="00E8322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322F">
        <w:rPr>
          <w:rFonts w:ascii="Times New Roman" w:eastAsia="Times New Roman" w:hAnsi="Times New Roman" w:cs="Times New Roman"/>
          <w:kern w:val="0"/>
          <w14:ligatures w14:val="none"/>
        </w:rPr>
        <w:pict w14:anchorId="353C37A2">
          <v:rect id="_x0000_i1033" style="width:712.8pt;height:1.5pt" o:hrpct="0" o:hralign="center" o:hrstd="t" o:hr="t" fillcolor="#a0a0a0" stroked="f"/>
        </w:pict>
      </w:r>
    </w:p>
    <w:p w14:paraId="026BF4DE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2025 Trade Finance Gap: The Global Survey Summary</w:t>
      </w:r>
    </w:p>
    <w:p w14:paraId="029D8D25" w14:textId="77777777" w:rsidR="00E8322F" w:rsidRPr="00E8322F" w:rsidRDefault="00E8322F" w:rsidP="00E8322F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2025 ICC/ADB Global Survey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highlights why the trade finance gap remains stuck at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$2.5 Trillion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despite high demand: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7086"/>
      </w:tblGrid>
      <w:tr w:rsidR="00E8322F" w:rsidRPr="00E8322F" w14:paraId="236DEA1D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3C6329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Survey Question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B51EDE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Global LMIC Average Response</w:t>
            </w:r>
          </w:p>
        </w:tc>
      </w:tr>
      <w:tr w:rsidR="00E8322F" w:rsidRPr="00E8322F" w14:paraId="00EDB2A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BB2E9B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Top Reason for Rejection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F7C282" w14:textId="4D147AD0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KYC/AML Compliance (42%)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–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It is too expensive to "</w:t>
            </w:r>
            <w:proofErr w:type="spellStart"/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vett</w:t>
            </w:r>
            <w:proofErr w:type="spellEnd"/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" small traders.</w:t>
            </w:r>
          </w:p>
        </w:tc>
      </w:tr>
      <w:tr w:rsidR="00E8322F" w:rsidRPr="00E8322F" w14:paraId="399FDD8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EC21DD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Impact of Digitization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DBE9AA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68% of banks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claim digital documents have reduced fraud, but only </w:t>
            </w: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15%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say it has lowered costs for the end-user.</w:t>
            </w:r>
          </w:p>
        </w:tc>
      </w:tr>
      <w:tr w:rsidR="00E8322F" w:rsidRPr="00E8322F" w14:paraId="5C028563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0325F1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SME Success Rate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D35F7A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Only </w:t>
            </w: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48%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of SME trade finance applications are fully approved on the first attempt.</w:t>
            </w:r>
          </w:p>
        </w:tc>
      </w:tr>
      <w:tr w:rsidR="00E8322F" w:rsidRPr="00E8322F" w14:paraId="49A8A76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C41E66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Interest Rate Trend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CF1D6C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Trade finance spreads in LMICs have remained </w:t>
            </w: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1.5% to 3.0% higher</w:t>
            </w: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than in developed markets due to country-risk ratings.</w:t>
            </w:r>
          </w:p>
        </w:tc>
      </w:tr>
    </w:tbl>
    <w:p w14:paraId="662BEFB7" w14:textId="77777777" w:rsidR="00E8322F" w:rsidRPr="00E8322F" w:rsidRDefault="00E8322F" w:rsidP="00E8322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32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22F0942">
          <v:rect id="_x0000_i1034" style="width:712.8pt;height:1.5pt" o:hrpct="0" o:hralign="center" o:hrstd="t" o:hr="t" fillcolor="#a0a0a0" stroked="f"/>
        </w:pict>
      </w:r>
    </w:p>
    <w:p w14:paraId="3E9827A2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Regional Trade Data Comparison (2025 Projections)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1849"/>
        <w:gridCol w:w="1837"/>
        <w:gridCol w:w="2635"/>
      </w:tblGrid>
      <w:tr w:rsidR="00E8322F" w:rsidRPr="00E8322F" w14:paraId="0ECB890D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3537C2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Region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A8F960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Export Growth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73A0EF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Import Growth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F1A81F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Primary Trade Partner</w:t>
            </w:r>
          </w:p>
        </w:tc>
      </w:tr>
      <w:tr w:rsidR="00E8322F" w:rsidRPr="00E8322F" w14:paraId="4F0DEBA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1557EC2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Sub-Saharan Africa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EC9372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4.8%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E15462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3.9%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6EF085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China / EU / Intra-Africa</w:t>
            </w:r>
          </w:p>
        </w:tc>
      </w:tr>
      <w:tr w:rsidR="00E8322F" w:rsidRPr="00E8322F" w14:paraId="68026CA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15DDCC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MENA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5EAD88A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3.6%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D820286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3.1%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FA780BB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EU / India / China</w:t>
            </w:r>
          </w:p>
        </w:tc>
      </w:tr>
      <w:tr w:rsidR="00E8322F" w:rsidRPr="00E8322F" w14:paraId="692CFB37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0F6A5C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Developing Asia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701288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4.2%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83AD58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4.0%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9DDCD0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USA / Intra-Asia / China</w:t>
            </w:r>
          </w:p>
        </w:tc>
      </w:tr>
      <w:tr w:rsidR="00E8322F" w:rsidRPr="00E8322F" w14:paraId="04955242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DAE5D25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&amp; Caribbean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38516C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3.2%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98752C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2.8%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D40A1F" w14:textId="77777777" w:rsidR="00E8322F" w:rsidRPr="00E8322F" w:rsidRDefault="00E8322F" w:rsidP="00E8322F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8322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USA / China</w:t>
            </w:r>
          </w:p>
        </w:tc>
      </w:tr>
    </w:tbl>
    <w:p w14:paraId="6F815F5A" w14:textId="77777777" w:rsidR="00E8322F" w:rsidRPr="00E8322F" w:rsidRDefault="00E8322F" w:rsidP="00E832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32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Strategic Conclusion for 2025</w:t>
      </w:r>
    </w:p>
    <w:p w14:paraId="5133F46F" w14:textId="77777777" w:rsidR="00E8322F" w:rsidRPr="00E8322F" w:rsidRDefault="00E8322F" w:rsidP="00E8322F">
      <w:pPr>
        <w:spacing w:before="100" w:beforeAutospacing="1" w:after="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 LMIC traders, 2025 is the year of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"Regional Resilience."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Because global bank liquidity remains tight for small firms, traders are shifting toward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Regional Development Banks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(like </w:t>
      </w:r>
      <w:proofErr w:type="spellStart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Afreximbank</w:t>
      </w:r>
      <w:proofErr w:type="spellEnd"/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or ADB) and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Non-Bank Financial Institutions (NBFIs)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for factoring and discounting their Bills of Exchange. The transition to </w:t>
      </w:r>
      <w:r w:rsidRPr="00E8322F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Digital Bill of Lading (MLETR)</w:t>
      </w:r>
      <w:r w:rsidRPr="00E8322F">
        <w:rPr>
          <w:rFonts w:ascii="Arial" w:eastAsia="Times New Roman" w:hAnsi="Arial" w:cs="Arial"/>
          <w:kern w:val="0"/>
          <w:sz w:val="21"/>
          <w:szCs w:val="21"/>
          <w14:ligatures w14:val="none"/>
        </w:rPr>
        <w:t> is no longer an option—it has become a requirement to access the lower-interest "Green" trade finance pools.</w:t>
      </w:r>
    </w:p>
    <w:p w14:paraId="48E733E3" w14:textId="77777777" w:rsidR="00A03483" w:rsidRPr="00E8322F" w:rsidRDefault="00A03483" w:rsidP="00E8322F"/>
    <w:sectPr w:rsidR="00A03483" w:rsidRPr="00E83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419F3"/>
    <w:multiLevelType w:val="multilevel"/>
    <w:tmpl w:val="C3AC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B22EA"/>
    <w:multiLevelType w:val="multilevel"/>
    <w:tmpl w:val="5B5A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35E15"/>
    <w:multiLevelType w:val="multilevel"/>
    <w:tmpl w:val="24C6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806FC"/>
    <w:multiLevelType w:val="hybridMultilevel"/>
    <w:tmpl w:val="840C6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0C65"/>
    <w:multiLevelType w:val="multilevel"/>
    <w:tmpl w:val="77D2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02D02"/>
    <w:multiLevelType w:val="multilevel"/>
    <w:tmpl w:val="D9D6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6577E"/>
    <w:multiLevelType w:val="multilevel"/>
    <w:tmpl w:val="921E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9594F"/>
    <w:multiLevelType w:val="multilevel"/>
    <w:tmpl w:val="0F02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22407"/>
    <w:multiLevelType w:val="multilevel"/>
    <w:tmpl w:val="BBCA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487786">
    <w:abstractNumId w:val="0"/>
  </w:num>
  <w:num w:numId="2" w16cid:durableId="905263055">
    <w:abstractNumId w:val="5"/>
  </w:num>
  <w:num w:numId="3" w16cid:durableId="2087920238">
    <w:abstractNumId w:val="4"/>
  </w:num>
  <w:num w:numId="4" w16cid:durableId="1340042929">
    <w:abstractNumId w:val="2"/>
  </w:num>
  <w:num w:numId="5" w16cid:durableId="977565888">
    <w:abstractNumId w:val="3"/>
  </w:num>
  <w:num w:numId="6" w16cid:durableId="416564464">
    <w:abstractNumId w:val="6"/>
  </w:num>
  <w:num w:numId="7" w16cid:durableId="1433208081">
    <w:abstractNumId w:val="7"/>
  </w:num>
  <w:num w:numId="8" w16cid:durableId="1708677969">
    <w:abstractNumId w:val="1"/>
  </w:num>
  <w:num w:numId="9" w16cid:durableId="1176457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YwMzY2Mze2NDQ3sDBU0lEKTi0uzszPAykwrAUAMYjNTiwAAAA="/>
  </w:docVars>
  <w:rsids>
    <w:rsidRoot w:val="004F3FEE"/>
    <w:rsid w:val="001845F3"/>
    <w:rsid w:val="004F3FEE"/>
    <w:rsid w:val="005020E7"/>
    <w:rsid w:val="0098613E"/>
    <w:rsid w:val="00A03483"/>
    <w:rsid w:val="00E8322F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C2D71"/>
  <w15:chartTrackingRefBased/>
  <w15:docId w15:val="{F07271D6-DAA4-420E-B750-F4E639C3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3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3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FEE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4F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4F3FEE"/>
  </w:style>
  <w:style w:type="character" w:styleId="Strong">
    <w:name w:val="Strong"/>
    <w:basedOn w:val="DefaultParagraphFont"/>
    <w:uiPriority w:val="22"/>
    <w:qFormat/>
    <w:rsid w:val="004F3FE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3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3FE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F3FEE"/>
    <w:rPr>
      <w:color w:val="666666"/>
    </w:rPr>
  </w:style>
  <w:style w:type="character" w:customStyle="1" w:styleId="mat-content">
    <w:name w:val="mat-content"/>
    <w:basedOn w:val="DefaultParagraphFont"/>
    <w:rsid w:val="00E8322F"/>
  </w:style>
  <w:style w:type="paragraph" w:customStyle="1" w:styleId="thought-collapsed-text">
    <w:name w:val="thought-collapsed-text"/>
    <w:basedOn w:val="Normal"/>
    <w:rsid w:val="00E8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-icon">
    <w:name w:val="footer-icon"/>
    <w:basedOn w:val="DefaultParagraphFont"/>
    <w:rsid w:val="00E8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663</Words>
  <Characters>3941</Characters>
  <Application>Microsoft Office Word</Application>
  <DocSecurity>0</DocSecurity>
  <Lines>119</Lines>
  <Paragraphs>90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2026-01-26T01:09:00Z</dcterms:created>
  <dcterms:modified xsi:type="dcterms:W3CDTF">2026-01-26T01:20:00Z</dcterms:modified>
</cp:coreProperties>
</file>