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7D11" w14:textId="1B7E34E5" w:rsidR="00E100E9" w:rsidRPr="00E100E9" w:rsidRDefault="00E100E9" w:rsidP="00E100E9">
      <w:pPr>
        <w:spacing w:after="120" w:line="240" w:lineRule="auto"/>
        <w:rPr>
          <w:b/>
          <w:bCs/>
          <w:sz w:val="32"/>
          <w:szCs w:val="32"/>
        </w:rPr>
      </w:pPr>
      <w:r w:rsidRPr="00E100E9">
        <w:rPr>
          <w:b/>
          <w:bCs/>
          <w:sz w:val="32"/>
          <w:szCs w:val="32"/>
        </w:rPr>
        <w:t>Treasury and Payment Service Provider (PSP)</w:t>
      </w:r>
    </w:p>
    <w:p w14:paraId="29D996E2" w14:textId="77777777" w:rsidR="00E100E9" w:rsidRDefault="00E100E9" w:rsidP="00E100E9">
      <w:pPr>
        <w:spacing w:after="120" w:line="240" w:lineRule="auto"/>
        <w:rPr>
          <w:sz w:val="22"/>
          <w:szCs w:val="22"/>
        </w:rPr>
      </w:pPr>
    </w:p>
    <w:p w14:paraId="5C45EC4A" w14:textId="77777777" w:rsidR="00E100E9" w:rsidRDefault="00E100E9" w:rsidP="00E100E9">
      <w:pPr>
        <w:spacing w:after="120" w:line="240" w:lineRule="auto"/>
        <w:rPr>
          <w:sz w:val="22"/>
          <w:szCs w:val="22"/>
        </w:rPr>
      </w:pPr>
      <w:r w:rsidRPr="00E100E9">
        <w:rPr>
          <w:sz w:val="22"/>
          <w:szCs w:val="22"/>
        </w:rPr>
        <w:t>Th</w:t>
      </w:r>
      <w:r>
        <w:rPr>
          <w:sz w:val="22"/>
          <w:szCs w:val="22"/>
        </w:rPr>
        <w:t>is</w:t>
      </w:r>
      <w:r w:rsidRPr="00E100E9">
        <w:rPr>
          <w:sz w:val="22"/>
          <w:szCs w:val="22"/>
        </w:rPr>
        <w:t xml:space="preserve"> unit is designed </w:t>
      </w:r>
      <w:r>
        <w:rPr>
          <w:sz w:val="22"/>
          <w:szCs w:val="22"/>
        </w:rPr>
        <w:t>to help achieve the</w:t>
      </w:r>
      <w:r w:rsidRPr="00E100E9">
        <w:rPr>
          <w:sz w:val="22"/>
          <w:szCs w:val="22"/>
        </w:rPr>
        <w:t xml:space="preserve"> </w:t>
      </w:r>
      <w:r w:rsidRPr="00E100E9">
        <w:rPr>
          <w:b/>
          <w:bCs/>
          <w:sz w:val="22"/>
          <w:szCs w:val="22"/>
        </w:rPr>
        <w:t>Systemically Important Financial Utility (SIFU)</w:t>
      </w:r>
      <w:r w:rsidRPr="00E100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status, </w:t>
      </w:r>
      <w:r w:rsidRPr="00E100E9">
        <w:rPr>
          <w:sz w:val="22"/>
          <w:szCs w:val="22"/>
        </w:rPr>
        <w:t>providing</w:t>
      </w:r>
      <w:r>
        <w:rPr>
          <w:sz w:val="22"/>
          <w:szCs w:val="22"/>
        </w:rPr>
        <w:t xml:space="preserve"> </w:t>
      </w:r>
      <w:r w:rsidRPr="00E100E9">
        <w:rPr>
          <w:sz w:val="22"/>
          <w:szCs w:val="22"/>
        </w:rPr>
        <w:t xml:space="preserve">high-velocity liquidity management and cross-border settlement. </w:t>
      </w:r>
    </w:p>
    <w:p w14:paraId="53BEAC53" w14:textId="0E1CB6BD" w:rsidR="00E100E9" w:rsidRPr="00E100E9" w:rsidRDefault="00E100E9" w:rsidP="00E100E9">
      <w:pPr>
        <w:spacing w:after="120" w:line="240" w:lineRule="auto"/>
        <w:rPr>
          <w:sz w:val="22"/>
          <w:szCs w:val="22"/>
        </w:rPr>
      </w:pPr>
      <w:r w:rsidRPr="00E100E9">
        <w:rPr>
          <w:sz w:val="22"/>
          <w:szCs w:val="22"/>
        </w:rPr>
        <w:t xml:space="preserve">Its primary objective is to bridge the gap between traditional fiat treasury operations and digital asset markets through </w:t>
      </w:r>
      <w:r>
        <w:rPr>
          <w:sz w:val="22"/>
          <w:szCs w:val="22"/>
        </w:rPr>
        <w:t xml:space="preserve">GSCX’s </w:t>
      </w:r>
      <w:r w:rsidRPr="00E100E9">
        <w:rPr>
          <w:sz w:val="22"/>
          <w:szCs w:val="22"/>
        </w:rPr>
        <w:t>"Sovereign Fortress" architecture.</w:t>
      </w:r>
    </w:p>
    <w:p w14:paraId="54E5D6B3" w14:textId="736388D0" w:rsidR="00E100E9" w:rsidRPr="00E100E9" w:rsidRDefault="00E100E9" w:rsidP="00E100E9">
      <w:pPr>
        <w:spacing w:after="120" w:line="240" w:lineRule="auto"/>
        <w:rPr>
          <w:b/>
          <w:bCs/>
          <w:sz w:val="28"/>
          <w:szCs w:val="28"/>
        </w:rPr>
      </w:pPr>
      <w:r w:rsidRPr="00E100E9">
        <w:rPr>
          <w:b/>
          <w:bCs/>
          <w:sz w:val="28"/>
          <w:szCs w:val="28"/>
        </w:rPr>
        <w:t>Primary Objectives</w:t>
      </w:r>
    </w:p>
    <w:p w14:paraId="106A761C" w14:textId="726841F4" w:rsidR="00E100E9" w:rsidRPr="00E100E9" w:rsidRDefault="00E100E9" w:rsidP="00E100E9">
      <w:pPr>
        <w:spacing w:after="120" w:line="240" w:lineRule="auto"/>
        <w:rPr>
          <w:sz w:val="22"/>
          <w:szCs w:val="22"/>
        </w:rPr>
      </w:pPr>
      <w:r w:rsidRPr="00E100E9">
        <w:rPr>
          <w:sz w:val="22"/>
          <w:szCs w:val="22"/>
        </w:rPr>
        <w:t xml:space="preserve">The </w:t>
      </w:r>
      <w:r>
        <w:rPr>
          <w:sz w:val="22"/>
          <w:szCs w:val="22"/>
        </w:rPr>
        <w:t>unit</w:t>
      </w:r>
      <w:r w:rsidRPr="00E100E9">
        <w:rPr>
          <w:sz w:val="22"/>
          <w:szCs w:val="22"/>
        </w:rPr>
        <w:t xml:space="preserve"> aims to resolve the "Liquidity Trap" and "Jurisdictional Friction" common in global supply chain finance.</w:t>
      </w:r>
    </w:p>
    <w:p w14:paraId="5F41C4EB" w14:textId="77777777" w:rsidR="00E100E9" w:rsidRPr="00E100E9" w:rsidRDefault="00E100E9" w:rsidP="00E100E9">
      <w:pPr>
        <w:numPr>
          <w:ilvl w:val="0"/>
          <w:numId w:val="1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Real-Time Liquidity Orchestration:</w:t>
      </w:r>
      <w:r w:rsidRPr="00E100E9">
        <w:rPr>
          <w:sz w:val="22"/>
          <w:szCs w:val="22"/>
        </w:rPr>
        <w:t xml:space="preserve"> Providing institutional participants with the ability to manage cash, stablecoins, and tokenized deposits as a unified liquidity pool.</w:t>
      </w:r>
    </w:p>
    <w:p w14:paraId="792C66C6" w14:textId="77777777" w:rsidR="00E100E9" w:rsidRPr="00E100E9" w:rsidRDefault="00E100E9" w:rsidP="00E100E9">
      <w:pPr>
        <w:numPr>
          <w:ilvl w:val="0"/>
          <w:numId w:val="1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Settlement Finality Guarantee:</w:t>
      </w:r>
      <w:r w:rsidRPr="00E100E9">
        <w:rPr>
          <w:sz w:val="22"/>
          <w:szCs w:val="22"/>
        </w:rPr>
        <w:t xml:space="preserve"> Acting as the "Payment Rail" for the GSCX MTF and Derivatives Exchange, ensuring that trade execution and fund movement are atomically linked.</w:t>
      </w:r>
    </w:p>
    <w:p w14:paraId="376FC05A" w14:textId="77777777" w:rsidR="00E100E9" w:rsidRPr="00E100E9" w:rsidRDefault="00E100E9" w:rsidP="00E100E9">
      <w:pPr>
        <w:numPr>
          <w:ilvl w:val="0"/>
          <w:numId w:val="1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Jurisdictional Neutrality:</w:t>
      </w:r>
      <w:r w:rsidRPr="00E100E9">
        <w:rPr>
          <w:sz w:val="22"/>
          <w:szCs w:val="22"/>
        </w:rPr>
        <w:t xml:space="preserve"> Using the </w:t>
      </w:r>
      <w:r w:rsidRPr="00E100E9">
        <w:rPr>
          <w:b/>
          <w:bCs/>
          <w:sz w:val="22"/>
          <w:szCs w:val="22"/>
        </w:rPr>
        <w:t>ADGM-BMA Regulatory Bridge</w:t>
      </w:r>
      <w:r w:rsidRPr="00E100E9">
        <w:rPr>
          <w:sz w:val="22"/>
          <w:szCs w:val="22"/>
        </w:rPr>
        <w:t xml:space="preserve"> to allow for the seamless flow of capital between the Middle East, Western, and Asian markets without exposure to the </w:t>
      </w:r>
      <w:r w:rsidRPr="00E100E9">
        <w:rPr>
          <w:b/>
          <w:bCs/>
          <w:sz w:val="22"/>
          <w:szCs w:val="22"/>
        </w:rPr>
        <w:t>U.S. CLOUD Act</w:t>
      </w:r>
      <w:r w:rsidRPr="00E100E9">
        <w:rPr>
          <w:sz w:val="22"/>
          <w:szCs w:val="22"/>
        </w:rPr>
        <w:t>.</w:t>
      </w:r>
    </w:p>
    <w:p w14:paraId="55331170" w14:textId="77777777" w:rsidR="00E100E9" w:rsidRPr="00E100E9" w:rsidRDefault="00E100E9" w:rsidP="00E100E9">
      <w:pPr>
        <w:numPr>
          <w:ilvl w:val="0"/>
          <w:numId w:val="1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Just-in-Time (JIT) Capital Efficiency:</w:t>
      </w:r>
      <w:r w:rsidRPr="00E100E9">
        <w:rPr>
          <w:sz w:val="22"/>
          <w:szCs w:val="22"/>
        </w:rPr>
        <w:t xml:space="preserve"> Enabling corporate treasurers to deploy capital only </w:t>
      </w:r>
      <w:proofErr w:type="gramStart"/>
      <w:r w:rsidRPr="00E100E9">
        <w:rPr>
          <w:sz w:val="22"/>
          <w:szCs w:val="22"/>
        </w:rPr>
        <w:t>at the moment</w:t>
      </w:r>
      <w:proofErr w:type="gramEnd"/>
      <w:r w:rsidRPr="00E100E9">
        <w:rPr>
          <w:sz w:val="22"/>
          <w:szCs w:val="22"/>
        </w:rPr>
        <w:t xml:space="preserve"> of settlement, significantly reducing pre-funding requirements.</w:t>
      </w:r>
    </w:p>
    <w:p w14:paraId="251742E1" w14:textId="7CE78C3D" w:rsidR="00E100E9" w:rsidRPr="00E100E9" w:rsidRDefault="00E100E9" w:rsidP="00E100E9">
      <w:pPr>
        <w:spacing w:after="120" w:line="240" w:lineRule="auto"/>
        <w:rPr>
          <w:b/>
          <w:bCs/>
        </w:rPr>
      </w:pPr>
      <w:r w:rsidRPr="00E100E9">
        <w:rPr>
          <w:b/>
          <w:bCs/>
        </w:rPr>
        <w:t>High-Level Architecture</w:t>
      </w:r>
    </w:p>
    <w:p w14:paraId="086D667E" w14:textId="77777777" w:rsidR="00E100E9" w:rsidRPr="00E100E9" w:rsidRDefault="00E100E9" w:rsidP="00E100E9">
      <w:pPr>
        <w:spacing w:after="120" w:line="240" w:lineRule="auto"/>
        <w:rPr>
          <w:sz w:val="22"/>
          <w:szCs w:val="22"/>
        </w:rPr>
      </w:pPr>
      <w:r w:rsidRPr="00E100E9">
        <w:rPr>
          <w:sz w:val="22"/>
          <w:szCs w:val="22"/>
        </w:rPr>
        <w:t xml:space="preserve">The architecture follows a </w:t>
      </w:r>
      <w:r w:rsidRPr="00E100E9">
        <w:rPr>
          <w:b/>
          <w:bCs/>
          <w:sz w:val="22"/>
          <w:szCs w:val="22"/>
        </w:rPr>
        <w:t>Tri-Node, Full-Stack</w:t>
      </w:r>
      <w:r w:rsidRPr="00E100E9">
        <w:rPr>
          <w:sz w:val="22"/>
          <w:szCs w:val="22"/>
        </w:rPr>
        <w:t xml:space="preserve"> model, utilizing </w:t>
      </w:r>
      <w:r w:rsidRPr="00E100E9">
        <w:rPr>
          <w:b/>
          <w:bCs/>
          <w:sz w:val="22"/>
          <w:szCs w:val="22"/>
        </w:rPr>
        <w:t>IBM LinuxONE</w:t>
      </w:r>
      <w:r w:rsidRPr="00E100E9">
        <w:rPr>
          <w:sz w:val="22"/>
          <w:szCs w:val="22"/>
        </w:rPr>
        <w:t xml:space="preserve"> to ensure that payment messaging and settlement are hardware-isolated.</w:t>
      </w:r>
    </w:p>
    <w:p w14:paraId="68019E74" w14:textId="121A6ECE" w:rsidR="00E100E9" w:rsidRPr="00E100E9" w:rsidRDefault="00E100E9" w:rsidP="00E100E9">
      <w:pPr>
        <w:spacing w:after="120" w:line="240" w:lineRule="auto"/>
        <w:rPr>
          <w:b/>
          <w:bCs/>
          <w:sz w:val="22"/>
          <w:szCs w:val="22"/>
        </w:rPr>
      </w:pPr>
      <w:r w:rsidRPr="00E100E9">
        <w:rPr>
          <w:b/>
          <w:bCs/>
          <w:sz w:val="22"/>
          <w:szCs w:val="22"/>
        </w:rPr>
        <w:t>Settlement &amp; Messaging Layer (The Rails)</w:t>
      </w:r>
    </w:p>
    <w:p w14:paraId="2128A833" w14:textId="57E2B691" w:rsidR="00E100E9" w:rsidRPr="00E100E9" w:rsidRDefault="00E100E9" w:rsidP="00E100E9">
      <w:pPr>
        <w:numPr>
          <w:ilvl w:val="0"/>
          <w:numId w:val="2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Mainframe Core:</w:t>
      </w:r>
      <w:r w:rsidRPr="00E100E9">
        <w:rPr>
          <w:sz w:val="22"/>
          <w:szCs w:val="22"/>
        </w:rPr>
        <w:t xml:space="preserve"> Payment processing is anchored in </w:t>
      </w:r>
      <w:r w:rsidRPr="00E100E9">
        <w:rPr>
          <w:b/>
          <w:bCs/>
          <w:sz w:val="22"/>
          <w:szCs w:val="22"/>
        </w:rPr>
        <w:t>EAL5+ partitions</w:t>
      </w:r>
      <w:r w:rsidRPr="00E100E9">
        <w:rPr>
          <w:sz w:val="22"/>
          <w:szCs w:val="22"/>
        </w:rPr>
        <w:t xml:space="preserve"> on IBM LinuxONE</w:t>
      </w:r>
      <w:r>
        <w:rPr>
          <w:sz w:val="22"/>
          <w:szCs w:val="22"/>
        </w:rPr>
        <w:t xml:space="preserve">, to </w:t>
      </w:r>
      <w:r w:rsidRPr="00E100E9">
        <w:rPr>
          <w:sz w:val="22"/>
          <w:szCs w:val="22"/>
        </w:rPr>
        <w:t>ensure that payment instructions are immutable and immune to "Man-in-the-Middle" attacks at the software level.</w:t>
      </w:r>
    </w:p>
    <w:p w14:paraId="2FC9811F" w14:textId="77777777" w:rsidR="00E100E9" w:rsidRPr="00E100E9" w:rsidRDefault="00E100E9" w:rsidP="00E100E9">
      <w:pPr>
        <w:numPr>
          <w:ilvl w:val="0"/>
          <w:numId w:val="2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Multi-Rail Integration:</w:t>
      </w:r>
      <w:r w:rsidRPr="00E100E9">
        <w:rPr>
          <w:sz w:val="22"/>
          <w:szCs w:val="22"/>
        </w:rPr>
        <w:t xml:space="preserve"> The PSP architecture is "Full-Stack," capable of orchestrating payments across multiple rails, including:</w:t>
      </w:r>
    </w:p>
    <w:p w14:paraId="606B5EDF" w14:textId="77777777" w:rsidR="00E100E9" w:rsidRPr="00E100E9" w:rsidRDefault="00E100E9" w:rsidP="00E100E9">
      <w:pPr>
        <w:numPr>
          <w:ilvl w:val="1"/>
          <w:numId w:val="2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RTGS/Swift:</w:t>
      </w:r>
      <w:r w:rsidRPr="00E100E9">
        <w:rPr>
          <w:sz w:val="22"/>
          <w:szCs w:val="22"/>
        </w:rPr>
        <w:t xml:space="preserve"> For traditional fiat </w:t>
      </w:r>
      <w:proofErr w:type="gramStart"/>
      <w:r w:rsidRPr="00E100E9">
        <w:rPr>
          <w:sz w:val="22"/>
          <w:szCs w:val="22"/>
        </w:rPr>
        <w:t>on-ramps</w:t>
      </w:r>
      <w:proofErr w:type="gramEnd"/>
      <w:r w:rsidRPr="00E100E9">
        <w:rPr>
          <w:sz w:val="22"/>
          <w:szCs w:val="22"/>
        </w:rPr>
        <w:t>.</w:t>
      </w:r>
    </w:p>
    <w:p w14:paraId="12237E56" w14:textId="77777777" w:rsidR="00E100E9" w:rsidRPr="00E100E9" w:rsidRDefault="00E100E9" w:rsidP="00E100E9">
      <w:pPr>
        <w:numPr>
          <w:ilvl w:val="1"/>
          <w:numId w:val="2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Tokenized Deposits:</w:t>
      </w:r>
      <w:r w:rsidRPr="00E100E9">
        <w:rPr>
          <w:sz w:val="22"/>
          <w:szCs w:val="22"/>
        </w:rPr>
        <w:t xml:space="preserve"> For internal GSCX ecosystem clearing.</w:t>
      </w:r>
    </w:p>
    <w:p w14:paraId="76B25D3D" w14:textId="77777777" w:rsidR="00E100E9" w:rsidRPr="00E100E9" w:rsidRDefault="00E100E9" w:rsidP="00E100E9">
      <w:pPr>
        <w:numPr>
          <w:ilvl w:val="1"/>
          <w:numId w:val="2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Stablecoin Bridges:</w:t>
      </w:r>
      <w:r w:rsidRPr="00E100E9">
        <w:rPr>
          <w:sz w:val="22"/>
          <w:szCs w:val="22"/>
        </w:rPr>
        <w:t xml:space="preserve"> For rapid cross-border value transfer.</w:t>
      </w:r>
    </w:p>
    <w:p w14:paraId="33AFEF9D" w14:textId="0FA38C52" w:rsidR="00E100E9" w:rsidRPr="00E100E9" w:rsidRDefault="00E100E9" w:rsidP="00E100E9">
      <w:pPr>
        <w:spacing w:after="120" w:line="240" w:lineRule="auto"/>
        <w:rPr>
          <w:b/>
          <w:bCs/>
          <w:sz w:val="22"/>
          <w:szCs w:val="22"/>
        </w:rPr>
      </w:pPr>
      <w:r w:rsidRPr="00E100E9">
        <w:rPr>
          <w:b/>
          <w:bCs/>
          <w:sz w:val="22"/>
          <w:szCs w:val="22"/>
        </w:rPr>
        <w:t>Treasury Node (The Hubs)</w:t>
      </w:r>
    </w:p>
    <w:p w14:paraId="7F8816A6" w14:textId="44C25B1D" w:rsidR="00E100E9" w:rsidRPr="00E100E9" w:rsidRDefault="00E100E9" w:rsidP="00E100E9">
      <w:pPr>
        <w:numPr>
          <w:ilvl w:val="0"/>
          <w:numId w:val="3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Switzerland Hub (Neutrality Node):</w:t>
      </w:r>
      <w:r w:rsidRPr="00E100E9">
        <w:rPr>
          <w:sz w:val="22"/>
          <w:szCs w:val="22"/>
        </w:rPr>
        <w:t xml:space="preserve"> Acts as the primary clearing hub for EMEA and APAC treasury flows</w:t>
      </w:r>
      <w:r>
        <w:rPr>
          <w:sz w:val="22"/>
          <w:szCs w:val="22"/>
        </w:rPr>
        <w:t xml:space="preserve">, anchored at </w:t>
      </w:r>
      <w:r w:rsidRPr="00E100E9">
        <w:rPr>
          <w:b/>
          <w:bCs/>
          <w:sz w:val="22"/>
          <w:szCs w:val="22"/>
        </w:rPr>
        <w:t>FADP</w:t>
      </w:r>
      <w:r>
        <w:rPr>
          <w:sz w:val="22"/>
          <w:szCs w:val="22"/>
        </w:rPr>
        <w:t xml:space="preserve">, </w:t>
      </w:r>
      <w:r w:rsidRPr="00E100E9">
        <w:rPr>
          <w:sz w:val="22"/>
          <w:szCs w:val="22"/>
        </w:rPr>
        <w:t>Switzerland</w:t>
      </w:r>
      <w:r>
        <w:rPr>
          <w:sz w:val="22"/>
          <w:szCs w:val="22"/>
        </w:rPr>
        <w:t xml:space="preserve">, and </w:t>
      </w:r>
      <w:r w:rsidRPr="00E100E9">
        <w:rPr>
          <w:sz w:val="22"/>
          <w:szCs w:val="22"/>
        </w:rPr>
        <w:t>ensur</w:t>
      </w:r>
      <w:r>
        <w:rPr>
          <w:sz w:val="22"/>
          <w:szCs w:val="22"/>
        </w:rPr>
        <w:t>ing</w:t>
      </w:r>
      <w:r w:rsidRPr="00E100E9">
        <w:rPr>
          <w:sz w:val="22"/>
          <w:szCs w:val="22"/>
        </w:rPr>
        <w:t xml:space="preserve"> that treasury metadata remains outside the reach of extraterritorial warrants.</w:t>
      </w:r>
    </w:p>
    <w:p w14:paraId="1AEC5665" w14:textId="6F2E33A9" w:rsidR="00E100E9" w:rsidRDefault="00E100E9" w:rsidP="00E100E9">
      <w:pPr>
        <w:numPr>
          <w:ilvl w:val="0"/>
          <w:numId w:val="3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USA Hub:</w:t>
      </w:r>
      <w:r w:rsidRPr="00E100E9">
        <w:rPr>
          <w:sz w:val="22"/>
          <w:szCs w:val="22"/>
        </w:rPr>
        <w:t xml:space="preserve"> Dedicated to North and South American treasury participants, ensuring compliance with U.S. federal banking standards while remaining logically sequestered from the Swiss node.</w:t>
      </w:r>
    </w:p>
    <w:p w14:paraId="6E2CF900" w14:textId="5A80C936" w:rsidR="00454856" w:rsidRPr="00E100E9" w:rsidRDefault="00454856" w:rsidP="00454856">
      <w:pPr>
        <w:numPr>
          <w:ilvl w:val="0"/>
          <w:numId w:val="3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lastRenderedPageBreak/>
        <w:t>Bermuda Resilience Anchor:</w:t>
      </w:r>
      <w:r w:rsidRPr="00E100E9">
        <w:rPr>
          <w:sz w:val="22"/>
          <w:szCs w:val="22"/>
        </w:rPr>
        <w:t xml:space="preserve"> Holds the "Global State" of treasury balances. It ensures that the </w:t>
      </w:r>
      <w:r w:rsidRPr="00E100E9">
        <w:rPr>
          <w:b/>
          <w:bCs/>
          <w:sz w:val="22"/>
          <w:szCs w:val="22"/>
        </w:rPr>
        <w:t>Mind and Management</w:t>
      </w:r>
      <w:r w:rsidRPr="00E100E9">
        <w:rPr>
          <w:sz w:val="22"/>
          <w:szCs w:val="22"/>
        </w:rPr>
        <w:t xml:space="preserve"> of the risk </w:t>
      </w:r>
      <w:proofErr w:type="gramStart"/>
      <w:r w:rsidRPr="00E100E9">
        <w:rPr>
          <w:sz w:val="22"/>
          <w:szCs w:val="22"/>
        </w:rPr>
        <w:t>remains</w:t>
      </w:r>
      <w:proofErr w:type="gramEnd"/>
      <w:r w:rsidRPr="00E100E9">
        <w:rPr>
          <w:sz w:val="22"/>
          <w:szCs w:val="22"/>
        </w:rPr>
        <w:t xml:space="preserve"> in Bermuda, satisfying </w:t>
      </w:r>
      <w:r w:rsidRPr="00E100E9">
        <w:rPr>
          <w:b/>
          <w:bCs/>
          <w:sz w:val="22"/>
          <w:szCs w:val="22"/>
        </w:rPr>
        <w:t>BMA Class M/F</w:t>
      </w:r>
      <w:r w:rsidRPr="00E100E9">
        <w:rPr>
          <w:sz w:val="22"/>
          <w:szCs w:val="22"/>
        </w:rPr>
        <w:t xml:space="preserve"> licensing requirements.</w:t>
      </w:r>
    </w:p>
    <w:p w14:paraId="77BB0FE5" w14:textId="548129CB" w:rsidR="00E100E9" w:rsidRPr="00E100E9" w:rsidRDefault="00E100E9" w:rsidP="00E100E9">
      <w:pPr>
        <w:spacing w:after="120" w:line="240" w:lineRule="auto"/>
        <w:rPr>
          <w:b/>
          <w:bCs/>
          <w:sz w:val="22"/>
          <w:szCs w:val="22"/>
        </w:rPr>
      </w:pPr>
      <w:r w:rsidRPr="00E100E9">
        <w:rPr>
          <w:b/>
          <w:bCs/>
          <w:sz w:val="22"/>
          <w:szCs w:val="22"/>
        </w:rPr>
        <w:t>The Fiduciary &amp; Escrow Engine</w:t>
      </w:r>
    </w:p>
    <w:p w14:paraId="5E5DAEAA" w14:textId="77777777" w:rsidR="00E100E9" w:rsidRPr="00E100E9" w:rsidRDefault="00E100E9" w:rsidP="00E100E9">
      <w:pPr>
        <w:numPr>
          <w:ilvl w:val="0"/>
          <w:numId w:val="4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MPC-Secured Escrow:</w:t>
      </w:r>
      <w:r w:rsidRPr="00E100E9">
        <w:rPr>
          <w:sz w:val="22"/>
          <w:szCs w:val="22"/>
        </w:rPr>
        <w:t xml:space="preserve"> Funds held in treasury or "in-flight" for payments are secured via </w:t>
      </w:r>
      <w:r w:rsidRPr="00E100E9">
        <w:rPr>
          <w:b/>
          <w:bCs/>
          <w:sz w:val="22"/>
          <w:szCs w:val="22"/>
        </w:rPr>
        <w:t>2-of-3 Multi-Party Computation (MPC)</w:t>
      </w:r>
      <w:r w:rsidRPr="00E100E9">
        <w:rPr>
          <w:sz w:val="22"/>
          <w:szCs w:val="22"/>
        </w:rPr>
        <w:t>.</w:t>
      </w:r>
    </w:p>
    <w:p w14:paraId="4B028DF1" w14:textId="77777777" w:rsidR="00E100E9" w:rsidRPr="00E100E9" w:rsidRDefault="00E100E9" w:rsidP="00E100E9">
      <w:pPr>
        <w:numPr>
          <w:ilvl w:val="0"/>
          <w:numId w:val="4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Bermuda Veto Shard:</w:t>
      </w:r>
      <w:r w:rsidRPr="00E100E9">
        <w:rPr>
          <w:sz w:val="22"/>
          <w:szCs w:val="22"/>
        </w:rPr>
        <w:t xml:space="preserve"> The third shard is mandatory for any large-value treasury movement. This prevents any single jurisdiction from unilaterally freezing or seizing the treasury assets of a sovereign client.</w:t>
      </w:r>
    </w:p>
    <w:p w14:paraId="3C0C3CC1" w14:textId="4D59787D" w:rsidR="00E100E9" w:rsidRPr="00E100E9" w:rsidRDefault="00E100E9" w:rsidP="00E100E9">
      <w:pPr>
        <w:spacing w:after="120" w:line="240" w:lineRule="auto"/>
        <w:rPr>
          <w:b/>
          <w:bCs/>
        </w:rPr>
      </w:pPr>
      <w:r w:rsidRPr="00E100E9">
        <w:rPr>
          <w:b/>
          <w:bCs/>
        </w:rPr>
        <w:t>Strategic Integration: The Captive Overlay</w:t>
      </w:r>
    </w:p>
    <w:p w14:paraId="3C8388A9" w14:textId="75BE6AD8" w:rsidR="00E100E9" w:rsidRPr="00E100E9" w:rsidRDefault="00E100E9" w:rsidP="00E100E9">
      <w:pPr>
        <w:spacing w:after="120" w:line="240" w:lineRule="auto"/>
        <w:rPr>
          <w:sz w:val="22"/>
          <w:szCs w:val="22"/>
        </w:rPr>
      </w:pPr>
      <w:r w:rsidRPr="00E100E9">
        <w:rPr>
          <w:sz w:val="22"/>
          <w:szCs w:val="22"/>
        </w:rPr>
        <w:t xml:space="preserve">The </w:t>
      </w:r>
      <w:r w:rsidRPr="00E100E9">
        <w:rPr>
          <w:b/>
          <w:bCs/>
          <w:sz w:val="22"/>
          <w:szCs w:val="22"/>
        </w:rPr>
        <w:t>GSCX Captive</w:t>
      </w:r>
      <w:r w:rsidRPr="00E100E9">
        <w:rPr>
          <w:sz w:val="22"/>
          <w:szCs w:val="22"/>
        </w:rPr>
        <w:t xml:space="preserve"> provides the final layer of </w:t>
      </w:r>
      <w:r w:rsidRPr="00E100E9">
        <w:rPr>
          <w:sz w:val="22"/>
          <w:szCs w:val="22"/>
        </w:rPr>
        <w:t>architecture</w:t>
      </w:r>
      <w:r w:rsidRPr="00E100E9">
        <w:rPr>
          <w:sz w:val="22"/>
          <w:szCs w:val="22"/>
        </w:rPr>
        <w:t xml:space="preserve">: </w:t>
      </w:r>
      <w:r w:rsidRPr="00E100E9">
        <w:rPr>
          <w:b/>
          <w:bCs/>
          <w:sz w:val="22"/>
          <w:szCs w:val="22"/>
        </w:rPr>
        <w:t>Liquidity Insurance</w:t>
      </w:r>
      <w:r w:rsidRPr="00E100E9">
        <w:rPr>
          <w:sz w:val="22"/>
          <w:szCs w:val="22"/>
        </w:rPr>
        <w:t>.</w:t>
      </w:r>
    </w:p>
    <w:p w14:paraId="1D1E9F5A" w14:textId="77777777" w:rsidR="00E100E9" w:rsidRPr="00E100E9" w:rsidRDefault="00E100E9" w:rsidP="00E100E9">
      <w:pPr>
        <w:numPr>
          <w:ilvl w:val="0"/>
          <w:numId w:val="5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Operational Risk Indemnity:</w:t>
      </w:r>
      <w:r w:rsidRPr="00E100E9">
        <w:rPr>
          <w:sz w:val="22"/>
          <w:szCs w:val="22"/>
        </w:rPr>
        <w:t xml:space="preserve"> If a regional payment rail goes offline, the Captive provides the "Tail-Risk" capital to fulfill payment obligations, maintaining the integrity of the GSCX exchange.</w:t>
      </w:r>
    </w:p>
    <w:p w14:paraId="3AD3FF03" w14:textId="77777777" w:rsidR="00E100E9" w:rsidRPr="00E100E9" w:rsidRDefault="00E100E9" w:rsidP="00E100E9">
      <w:pPr>
        <w:numPr>
          <w:ilvl w:val="0"/>
          <w:numId w:val="5"/>
        </w:numPr>
        <w:spacing w:after="120" w:line="240" w:lineRule="auto"/>
        <w:rPr>
          <w:sz w:val="22"/>
          <w:szCs w:val="22"/>
        </w:rPr>
      </w:pPr>
      <w:r w:rsidRPr="00E100E9">
        <w:rPr>
          <w:b/>
          <w:bCs/>
          <w:sz w:val="22"/>
          <w:szCs w:val="22"/>
        </w:rPr>
        <w:t>FX &amp; Slippage Guarantee:</w:t>
      </w:r>
      <w:r w:rsidRPr="00E100E9">
        <w:rPr>
          <w:sz w:val="22"/>
          <w:szCs w:val="22"/>
        </w:rPr>
        <w:t xml:space="preserve"> The Treasury unit uses the Captive to underwrite FX risks for cross-border payments, providing institutional clients with a guaranteed "Locked-In" rate for trade settlement.</w:t>
      </w:r>
    </w:p>
    <w:p w14:paraId="5A0F5125" w14:textId="77777777" w:rsidR="00E100E9" w:rsidRPr="00E100E9" w:rsidRDefault="00E100E9" w:rsidP="00E100E9">
      <w:pPr>
        <w:spacing w:after="120" w:line="240" w:lineRule="auto"/>
        <w:rPr>
          <w:b/>
          <w:bCs/>
        </w:rPr>
      </w:pPr>
      <w:r w:rsidRPr="00E100E9">
        <w:rPr>
          <w:b/>
          <w:bCs/>
        </w:rPr>
        <w:t>Summary of Treasury/PSP Architecture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675"/>
        <w:gridCol w:w="5232"/>
      </w:tblGrid>
      <w:tr w:rsidR="00E100E9" w:rsidRPr="00E100E9" w14:paraId="0010702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8DB93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Feature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C55CB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Technical Implementation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419DA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Strategic Benefit</w:t>
            </w:r>
          </w:p>
        </w:tc>
      </w:tr>
      <w:tr w:rsidR="00E100E9" w:rsidRPr="00E100E9" w14:paraId="025148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B453D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Hardware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BEA0F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IBM LinuxONE (EAL5+)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F3215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sz w:val="22"/>
                <w:szCs w:val="22"/>
              </w:rPr>
              <w:t>Military-grade isolation of payment instructions.</w:t>
            </w:r>
          </w:p>
        </w:tc>
      </w:tr>
      <w:tr w:rsidR="00E100E9" w:rsidRPr="00E100E9" w14:paraId="08DFA8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0FD10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Logic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8FEEB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Decoupled Tri-Node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85F5F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sz w:val="22"/>
                <w:szCs w:val="22"/>
              </w:rPr>
              <w:t xml:space="preserve">Complete immunity to the </w:t>
            </w:r>
            <w:r w:rsidRPr="00E100E9">
              <w:rPr>
                <w:b/>
                <w:bCs/>
                <w:sz w:val="22"/>
                <w:szCs w:val="22"/>
              </w:rPr>
              <w:t>U.S. CLOUD Act</w:t>
            </w:r>
            <w:r w:rsidRPr="00E100E9">
              <w:rPr>
                <w:sz w:val="22"/>
                <w:szCs w:val="22"/>
              </w:rPr>
              <w:t xml:space="preserve"> for global trade.</w:t>
            </w:r>
          </w:p>
        </w:tc>
      </w:tr>
      <w:tr w:rsidR="00E100E9" w:rsidRPr="00E100E9" w14:paraId="3E3A4A3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409C4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Compliance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74CE3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ADGM-BMA Bridge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8D9281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sz w:val="22"/>
                <w:szCs w:val="22"/>
              </w:rPr>
              <w:t xml:space="preserve">Unified regulatory </w:t>
            </w:r>
            <w:proofErr w:type="gramStart"/>
            <w:r w:rsidRPr="00E100E9">
              <w:rPr>
                <w:sz w:val="22"/>
                <w:szCs w:val="22"/>
              </w:rPr>
              <w:t>standard</w:t>
            </w:r>
            <w:proofErr w:type="gramEnd"/>
            <w:r w:rsidRPr="00E100E9">
              <w:rPr>
                <w:sz w:val="22"/>
                <w:szCs w:val="22"/>
              </w:rPr>
              <w:t xml:space="preserve"> for digital asset payments.</w:t>
            </w:r>
          </w:p>
        </w:tc>
      </w:tr>
      <w:tr w:rsidR="00E100E9" w:rsidRPr="00E100E9" w14:paraId="3A31E1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EC4CC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Guarantee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10C09E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b/>
                <w:bCs/>
                <w:sz w:val="22"/>
                <w:szCs w:val="22"/>
              </w:rPr>
              <w:t>Bermuda Captive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A4690" w14:textId="77777777" w:rsidR="00E100E9" w:rsidRPr="00E100E9" w:rsidRDefault="00E100E9" w:rsidP="00E100E9">
            <w:pPr>
              <w:spacing w:after="120" w:line="240" w:lineRule="auto"/>
              <w:ind w:left="110"/>
              <w:rPr>
                <w:sz w:val="22"/>
                <w:szCs w:val="22"/>
              </w:rPr>
            </w:pPr>
            <w:r w:rsidRPr="00E100E9">
              <w:rPr>
                <w:sz w:val="22"/>
                <w:szCs w:val="22"/>
              </w:rPr>
              <w:t>Underwritten settlement finality and liquidity.</w:t>
            </w:r>
          </w:p>
        </w:tc>
      </w:tr>
    </w:tbl>
    <w:p w14:paraId="51BD81B9" w14:textId="77777777" w:rsidR="00D01E32" w:rsidRPr="00E100E9" w:rsidRDefault="00D01E32" w:rsidP="00E100E9">
      <w:pPr>
        <w:spacing w:after="120" w:line="240" w:lineRule="auto"/>
        <w:rPr>
          <w:sz w:val="22"/>
          <w:szCs w:val="22"/>
        </w:rPr>
      </w:pPr>
    </w:p>
    <w:sectPr w:rsidR="00D01E32" w:rsidRPr="00E10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E17"/>
    <w:multiLevelType w:val="multilevel"/>
    <w:tmpl w:val="90D8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20ECF"/>
    <w:multiLevelType w:val="multilevel"/>
    <w:tmpl w:val="8940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024FB"/>
    <w:multiLevelType w:val="multilevel"/>
    <w:tmpl w:val="DA10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B40F4"/>
    <w:multiLevelType w:val="multilevel"/>
    <w:tmpl w:val="03C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152B2"/>
    <w:multiLevelType w:val="multilevel"/>
    <w:tmpl w:val="7E6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471230">
    <w:abstractNumId w:val="1"/>
  </w:num>
  <w:num w:numId="2" w16cid:durableId="1433745753">
    <w:abstractNumId w:val="3"/>
  </w:num>
  <w:num w:numId="3" w16cid:durableId="495192010">
    <w:abstractNumId w:val="2"/>
  </w:num>
  <w:num w:numId="4" w16cid:durableId="1176648433">
    <w:abstractNumId w:val="0"/>
  </w:num>
  <w:num w:numId="5" w16cid:durableId="2101296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D5"/>
    <w:rsid w:val="002552D5"/>
    <w:rsid w:val="00417239"/>
    <w:rsid w:val="00454856"/>
    <w:rsid w:val="00A4398E"/>
    <w:rsid w:val="00CA2806"/>
    <w:rsid w:val="00D01E32"/>
    <w:rsid w:val="00E1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6FE5"/>
  <w15:chartTrackingRefBased/>
  <w15:docId w15:val="{20430BAC-5C36-460C-8BC0-8FFD6940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2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Jermakyan</dc:creator>
  <cp:keywords/>
  <dc:description/>
  <cp:lastModifiedBy>Martin Jermakyan</cp:lastModifiedBy>
  <cp:revision>2</cp:revision>
  <dcterms:created xsi:type="dcterms:W3CDTF">2026-04-17T16:04:00Z</dcterms:created>
  <dcterms:modified xsi:type="dcterms:W3CDTF">2026-04-17T16:15:00Z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0c42ffd2-5c64-4edc-8f61-81441f750927</vt:lpwstr>
  </property>
</Properties>
</file>