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707FE" w14:textId="77777777" w:rsidR="0007068C" w:rsidRPr="0007068C" w:rsidRDefault="0007068C" w:rsidP="0007068C">
      <w:pPr>
        <w:spacing w:after="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 xml:space="preserve">As of early 2026, </w:t>
      </w:r>
      <w:r w:rsidRPr="0007068C">
        <w:rPr>
          <w:rFonts w:eastAsia="Times New Roman" w:cs="Times New Roman"/>
          <w:b/>
          <w:bCs/>
          <w:kern w:val="0"/>
          <w:sz w:val="22"/>
          <w:szCs w:val="22"/>
          <w14:ligatures w14:val="none"/>
        </w:rPr>
        <w:t>First Abu Dhabi Bank (FAB)</w:t>
      </w:r>
      <w:r w:rsidRPr="0007068C">
        <w:rPr>
          <w:rFonts w:eastAsia="Times New Roman" w:cs="Times New Roman"/>
          <w:kern w:val="0"/>
          <w:sz w:val="22"/>
          <w:szCs w:val="22"/>
          <w14:ligatures w14:val="none"/>
        </w:rPr>
        <w:t>, the UAE’s largest bank, is a leading institutional player in the stablecoin and tokenized deposit ecosystem. While FAB does not issue a "retail" stablecoin (like USDC), it has integrated stablecoin technology and "tokenized deposits" into its wholesale banking and trade finance infrastructure.</w:t>
      </w:r>
    </w:p>
    <w:p w14:paraId="399CCCA2" w14:textId="77777777" w:rsidR="0007068C" w:rsidRDefault="0007068C" w:rsidP="0007068C">
      <w:pPr>
        <w:spacing w:after="0" w:line="240" w:lineRule="auto"/>
        <w:rPr>
          <w:rFonts w:eastAsia="Times New Roman" w:cs="Times New Roman"/>
          <w:kern w:val="0"/>
          <w:sz w:val="22"/>
          <w:szCs w:val="22"/>
          <w14:ligatures w14:val="none"/>
        </w:rPr>
      </w:pPr>
    </w:p>
    <w:p w14:paraId="6B4A4FF2" w14:textId="493CB948"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 xml:space="preserve">For a venture like </w:t>
      </w:r>
      <w:r w:rsidRPr="0007068C">
        <w:rPr>
          <w:rFonts w:eastAsia="Times New Roman" w:cs="Times New Roman"/>
          <w:b/>
          <w:bCs/>
          <w:kern w:val="0"/>
          <w:sz w:val="22"/>
          <w:szCs w:val="22"/>
          <w14:ligatures w14:val="none"/>
        </w:rPr>
        <w:t>GSXC</w:t>
      </w:r>
      <w:r w:rsidRPr="0007068C">
        <w:rPr>
          <w:rFonts w:eastAsia="Times New Roman" w:cs="Times New Roman"/>
          <w:kern w:val="0"/>
          <w:sz w:val="22"/>
          <w:szCs w:val="22"/>
          <w14:ligatures w14:val="none"/>
        </w:rPr>
        <w:t>, FAB represents the "Tier-1 Fiat Bridge" within the UAE. Here is a detailed breakdown of FAB’s involvement:</w:t>
      </w:r>
    </w:p>
    <w:p w14:paraId="1CE9EB5B" w14:textId="77777777" w:rsidR="0007068C" w:rsidRPr="0007068C" w:rsidRDefault="0007068C" w:rsidP="0007068C">
      <w:pPr>
        <w:spacing w:after="240" w:line="240" w:lineRule="auto"/>
        <w:outlineLvl w:val="2"/>
        <w:rPr>
          <w:rFonts w:eastAsia="Times New Roman" w:cs="Times New Roman"/>
          <w:b/>
          <w:bCs/>
          <w:kern w:val="0"/>
          <w:sz w:val="28"/>
          <w:szCs w:val="28"/>
          <w14:ligatures w14:val="none"/>
        </w:rPr>
      </w:pPr>
      <w:r w:rsidRPr="0007068C">
        <w:rPr>
          <w:rFonts w:eastAsia="Times New Roman" w:cs="Times New Roman"/>
          <w:b/>
          <w:bCs/>
          <w:kern w:val="0"/>
          <w:sz w:val="28"/>
          <w:szCs w:val="28"/>
          <w14:ligatures w14:val="none"/>
        </w:rPr>
        <w:t>1. Partnership with J.P. Morgan Onyx (Tokenized Deposits)</w:t>
      </w:r>
    </w:p>
    <w:p w14:paraId="54F6C006"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 xml:space="preserve">FAB was one of the first global banks to integrate with </w:t>
      </w:r>
      <w:r w:rsidRPr="0007068C">
        <w:rPr>
          <w:rFonts w:eastAsia="Times New Roman" w:cs="Times New Roman"/>
          <w:b/>
          <w:bCs/>
          <w:kern w:val="0"/>
          <w:sz w:val="22"/>
          <w:szCs w:val="22"/>
          <w14:ligatures w14:val="none"/>
        </w:rPr>
        <w:t>J.P. Morgan’s Onyx Coin Systems</w:t>
      </w:r>
      <w:r w:rsidRPr="0007068C">
        <w:rPr>
          <w:rFonts w:eastAsia="Times New Roman" w:cs="Times New Roman"/>
          <w:kern w:val="0"/>
          <w:sz w:val="22"/>
          <w:szCs w:val="22"/>
          <w14:ligatures w14:val="none"/>
        </w:rPr>
        <w:t>.</w:t>
      </w:r>
    </w:p>
    <w:p w14:paraId="19318857" w14:textId="77777777" w:rsidR="0007068C" w:rsidRPr="0007068C" w:rsidRDefault="0007068C" w:rsidP="0007068C">
      <w:pPr>
        <w:numPr>
          <w:ilvl w:val="0"/>
          <w:numId w:val="1"/>
        </w:numPr>
        <w:spacing w:after="12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The Mechanic:</w:t>
      </w:r>
      <w:r w:rsidRPr="0007068C">
        <w:rPr>
          <w:rFonts w:eastAsia="Times New Roman" w:cs="Times New Roman"/>
          <w:kern w:val="0"/>
          <w:sz w:val="22"/>
          <w:szCs w:val="22"/>
          <w14:ligatures w14:val="none"/>
        </w:rPr>
        <w:t xml:space="preserve"> FAB uses tokenized versions of USD and AED held on a private ledger to facilitate </w:t>
      </w:r>
      <w:r w:rsidRPr="0007068C">
        <w:rPr>
          <w:rFonts w:eastAsia="Times New Roman" w:cs="Times New Roman"/>
          <w:b/>
          <w:bCs/>
          <w:kern w:val="0"/>
          <w:sz w:val="22"/>
          <w:szCs w:val="22"/>
          <w14:ligatures w14:val="none"/>
        </w:rPr>
        <w:t>instant, 24/7 cross-border payments</w:t>
      </w:r>
      <w:r w:rsidRPr="0007068C">
        <w:rPr>
          <w:rFonts w:eastAsia="Times New Roman" w:cs="Times New Roman"/>
          <w:kern w:val="0"/>
          <w:sz w:val="22"/>
          <w:szCs w:val="22"/>
          <w14:ligatures w14:val="none"/>
        </w:rPr>
        <w:t>.</w:t>
      </w:r>
    </w:p>
    <w:p w14:paraId="1C482323" w14:textId="77777777" w:rsidR="0007068C" w:rsidRPr="0007068C" w:rsidRDefault="0007068C" w:rsidP="0007068C">
      <w:pPr>
        <w:numPr>
          <w:ilvl w:val="0"/>
          <w:numId w:val="1"/>
        </w:numPr>
        <w:spacing w:after="12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Significance:</w:t>
      </w:r>
      <w:r w:rsidRPr="0007068C">
        <w:rPr>
          <w:rFonts w:eastAsia="Times New Roman" w:cs="Times New Roman"/>
          <w:kern w:val="0"/>
          <w:sz w:val="22"/>
          <w:szCs w:val="22"/>
          <w14:ligatures w14:val="none"/>
        </w:rPr>
        <w:t xml:space="preserve"> This is effectively a "private stablecoin" system for institutional trade. It allows FAB to bypass the traditional SWIFT cut-off times, achieving the </w:t>
      </w:r>
      <w:r w:rsidRPr="0007068C">
        <w:rPr>
          <w:rFonts w:eastAsia="Times New Roman" w:cs="Times New Roman"/>
          <w:b/>
          <w:bCs/>
          <w:kern w:val="0"/>
          <w:sz w:val="22"/>
          <w:szCs w:val="22"/>
          <w14:ligatures w14:val="none"/>
        </w:rPr>
        <w:t>Atomic Settlement</w:t>
      </w:r>
      <w:r w:rsidRPr="0007068C">
        <w:rPr>
          <w:rFonts w:eastAsia="Times New Roman" w:cs="Times New Roman"/>
          <w:kern w:val="0"/>
          <w:sz w:val="22"/>
          <w:szCs w:val="22"/>
          <w14:ligatures w14:val="none"/>
        </w:rPr>
        <w:t xml:space="preserve"> goals your GSXC project aims for.</w:t>
      </w:r>
    </w:p>
    <w:p w14:paraId="1678ABAB" w14:textId="77777777" w:rsidR="0007068C" w:rsidRPr="0007068C" w:rsidRDefault="0007068C" w:rsidP="0007068C">
      <w:pPr>
        <w:spacing w:after="240" w:line="240" w:lineRule="auto"/>
        <w:outlineLvl w:val="2"/>
        <w:rPr>
          <w:rFonts w:eastAsia="Times New Roman" w:cs="Times New Roman"/>
          <w:b/>
          <w:bCs/>
          <w:kern w:val="0"/>
          <w:sz w:val="28"/>
          <w:szCs w:val="28"/>
          <w14:ligatures w14:val="none"/>
        </w:rPr>
      </w:pPr>
      <w:r w:rsidRPr="0007068C">
        <w:rPr>
          <w:rFonts w:eastAsia="Times New Roman" w:cs="Times New Roman"/>
          <w:b/>
          <w:bCs/>
          <w:kern w:val="0"/>
          <w:sz w:val="28"/>
          <w:szCs w:val="28"/>
          <w14:ligatures w14:val="none"/>
        </w:rPr>
        <w:t>2. Participation in Project mBridge</w:t>
      </w:r>
    </w:p>
    <w:p w14:paraId="2E5E6A35"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 xml:space="preserve">FAB is a key commercial participant in </w:t>
      </w:r>
      <w:r w:rsidRPr="0007068C">
        <w:rPr>
          <w:rFonts w:eastAsia="Times New Roman" w:cs="Times New Roman"/>
          <w:b/>
          <w:bCs/>
          <w:kern w:val="0"/>
          <w:sz w:val="22"/>
          <w:szCs w:val="22"/>
          <w14:ligatures w14:val="none"/>
        </w:rPr>
        <w:t>Project mBridge</w:t>
      </w:r>
      <w:r w:rsidRPr="0007068C">
        <w:rPr>
          <w:rFonts w:eastAsia="Times New Roman" w:cs="Times New Roman"/>
          <w:kern w:val="0"/>
          <w:sz w:val="22"/>
          <w:szCs w:val="22"/>
          <w14:ligatures w14:val="none"/>
        </w:rPr>
        <w:t>, the high-profile collaboration between the BIS Innovation Hub and the central banks of the UAE, China, Hong Kong, Thailand, and Saudi Arabia.</w:t>
      </w:r>
    </w:p>
    <w:p w14:paraId="771D37BC" w14:textId="5F935B75" w:rsidR="0007068C" w:rsidRPr="0007068C" w:rsidRDefault="0007068C" w:rsidP="0007068C">
      <w:pPr>
        <w:numPr>
          <w:ilvl w:val="0"/>
          <w:numId w:val="2"/>
        </w:numPr>
        <w:spacing w:after="12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Involvement:</w:t>
      </w:r>
      <w:r w:rsidRPr="0007068C">
        <w:rPr>
          <w:rFonts w:eastAsia="Times New Roman" w:cs="Times New Roman"/>
          <w:kern w:val="0"/>
          <w:sz w:val="22"/>
          <w:szCs w:val="22"/>
          <w14:ligatures w14:val="none"/>
        </w:rPr>
        <w:t xml:space="preserve"> mBridge uses a multi-CBDC (Central Bank Digital Currency) platform. FAB uses this system to settle trade in digital Dirhams and Yuan.</w:t>
      </w:r>
    </w:p>
    <w:p w14:paraId="36F02840" w14:textId="2C0DF021" w:rsidR="0007068C" w:rsidRPr="0007068C" w:rsidRDefault="0007068C" w:rsidP="0007068C">
      <w:pPr>
        <w:numPr>
          <w:ilvl w:val="0"/>
          <w:numId w:val="2"/>
        </w:numPr>
        <w:spacing w:after="12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Tradetech Link:</w:t>
      </w:r>
      <w:r w:rsidRPr="0007068C">
        <w:rPr>
          <w:rFonts w:eastAsia="Times New Roman" w:cs="Times New Roman"/>
          <w:kern w:val="0"/>
          <w:sz w:val="22"/>
          <w:szCs w:val="22"/>
          <w14:ligatures w14:val="none"/>
        </w:rPr>
        <w:t xml:space="preserve"> This is the "Wholesale" version of stablecoin settlement. It provides liquidity rails that allow UAE-based MTFs to settle trades with LMICs (specifically in Asia) without relying on the USD-dominated correspondent banking system.</w:t>
      </w:r>
    </w:p>
    <w:p w14:paraId="3644E9F4" w14:textId="77777777" w:rsidR="0007068C" w:rsidRPr="0007068C" w:rsidRDefault="0007068C" w:rsidP="0007068C">
      <w:pPr>
        <w:spacing w:after="240" w:line="240" w:lineRule="auto"/>
        <w:outlineLvl w:val="2"/>
        <w:rPr>
          <w:rFonts w:eastAsia="Times New Roman" w:cs="Times New Roman"/>
          <w:b/>
          <w:bCs/>
          <w:kern w:val="0"/>
          <w:sz w:val="28"/>
          <w:szCs w:val="28"/>
          <w14:ligatures w14:val="none"/>
        </w:rPr>
      </w:pPr>
      <w:r w:rsidRPr="0007068C">
        <w:rPr>
          <w:rFonts w:eastAsia="Times New Roman" w:cs="Times New Roman"/>
          <w:b/>
          <w:bCs/>
          <w:kern w:val="0"/>
          <w:sz w:val="28"/>
          <w:szCs w:val="28"/>
          <w14:ligatures w14:val="none"/>
        </w:rPr>
        <w:t>3. Digital Asset Custody &amp; "Qualified Custodian" Role</w:t>
      </w:r>
    </w:p>
    <w:p w14:paraId="0CD01328"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 xml:space="preserve">Under the UAE’s </w:t>
      </w:r>
      <w:r w:rsidRPr="0007068C">
        <w:rPr>
          <w:rFonts w:eastAsia="Times New Roman" w:cs="Times New Roman"/>
          <w:b/>
          <w:bCs/>
          <w:kern w:val="0"/>
          <w:sz w:val="22"/>
          <w:szCs w:val="22"/>
          <w14:ligatures w14:val="none"/>
        </w:rPr>
        <w:t>Payment Token Services Regulation (2024)</w:t>
      </w:r>
      <w:r w:rsidRPr="0007068C">
        <w:rPr>
          <w:rFonts w:eastAsia="Times New Roman" w:cs="Times New Roman"/>
          <w:kern w:val="0"/>
          <w:sz w:val="22"/>
          <w:szCs w:val="22"/>
          <w14:ligatures w14:val="none"/>
        </w:rPr>
        <w:t>, stablecoin issuers (like Circle/USDC) must hold their reserves in highly regulated banks.</w:t>
      </w:r>
    </w:p>
    <w:p w14:paraId="257B8D05" w14:textId="33287876" w:rsidR="0007068C" w:rsidRPr="0007068C" w:rsidRDefault="0007068C" w:rsidP="0007068C">
      <w:pPr>
        <w:numPr>
          <w:ilvl w:val="0"/>
          <w:numId w:val="3"/>
        </w:numPr>
        <w:spacing w:after="12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Role:</w:t>
      </w:r>
      <w:r w:rsidRPr="0007068C">
        <w:rPr>
          <w:rFonts w:eastAsia="Times New Roman" w:cs="Times New Roman"/>
          <w:kern w:val="0"/>
          <w:sz w:val="22"/>
          <w:szCs w:val="22"/>
          <w14:ligatures w14:val="none"/>
        </w:rPr>
        <w:t xml:space="preserve"> FAB has launched a </w:t>
      </w:r>
      <w:r w:rsidRPr="0007068C">
        <w:rPr>
          <w:rFonts w:eastAsia="Times New Roman" w:cs="Times New Roman"/>
          <w:b/>
          <w:bCs/>
          <w:kern w:val="0"/>
          <w:sz w:val="22"/>
          <w:szCs w:val="22"/>
          <w14:ligatures w14:val="none"/>
        </w:rPr>
        <w:t>Digital Asset Custody service</w:t>
      </w:r>
      <w:r w:rsidRPr="0007068C">
        <w:rPr>
          <w:rFonts w:eastAsia="Times New Roman" w:cs="Times New Roman"/>
          <w:kern w:val="0"/>
          <w:sz w:val="22"/>
          <w:szCs w:val="22"/>
          <w14:ligatures w14:val="none"/>
        </w:rPr>
        <w:t xml:space="preserve"> (utilizing technology from Ripple/</w:t>
      </w:r>
      <w:proofErr w:type="spellStart"/>
      <w:r w:rsidRPr="0007068C">
        <w:rPr>
          <w:rFonts w:eastAsia="Times New Roman" w:cs="Times New Roman"/>
          <w:kern w:val="0"/>
          <w:sz w:val="22"/>
          <w:szCs w:val="22"/>
          <w14:ligatures w14:val="none"/>
        </w:rPr>
        <w:t>Metaco</w:t>
      </w:r>
      <w:proofErr w:type="spellEnd"/>
      <w:r w:rsidRPr="0007068C">
        <w:rPr>
          <w:rFonts w:eastAsia="Times New Roman" w:cs="Times New Roman"/>
          <w:kern w:val="0"/>
          <w:sz w:val="22"/>
          <w:szCs w:val="22"/>
          <w14:ligatures w14:val="none"/>
        </w:rPr>
        <w:t>).</w:t>
      </w:r>
    </w:p>
    <w:p w14:paraId="0FDDC818" w14:textId="77777777" w:rsidR="0007068C" w:rsidRPr="0007068C" w:rsidRDefault="0007068C" w:rsidP="0007068C">
      <w:pPr>
        <w:numPr>
          <w:ilvl w:val="0"/>
          <w:numId w:val="3"/>
        </w:numPr>
        <w:spacing w:after="12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Strategic Privilege:</w:t>
      </w:r>
      <w:r w:rsidRPr="0007068C">
        <w:rPr>
          <w:rFonts w:eastAsia="Times New Roman" w:cs="Times New Roman"/>
          <w:kern w:val="0"/>
          <w:sz w:val="22"/>
          <w:szCs w:val="22"/>
          <w14:ligatures w14:val="none"/>
        </w:rPr>
        <w:t xml:space="preserve"> FAB acts as a </w:t>
      </w:r>
      <w:r w:rsidRPr="0007068C">
        <w:rPr>
          <w:rFonts w:eastAsia="Times New Roman" w:cs="Times New Roman"/>
          <w:b/>
          <w:bCs/>
          <w:kern w:val="0"/>
          <w:sz w:val="22"/>
          <w:szCs w:val="22"/>
          <w14:ligatures w14:val="none"/>
        </w:rPr>
        <w:t>BMA-equivalent Qualified Custodian</w:t>
      </w:r>
      <w:r w:rsidRPr="0007068C">
        <w:rPr>
          <w:rFonts w:eastAsia="Times New Roman" w:cs="Times New Roman"/>
          <w:kern w:val="0"/>
          <w:sz w:val="22"/>
          <w:szCs w:val="22"/>
          <w14:ligatures w14:val="none"/>
        </w:rPr>
        <w:t>. For a Bermuda Class IIGB Captive, FAB is a "trusted destination" to hold the fiat reserves that back a trade-specific stablecoin.</w:t>
      </w:r>
    </w:p>
    <w:p w14:paraId="4A51FAF0" w14:textId="77777777" w:rsidR="0007068C" w:rsidRPr="0007068C" w:rsidRDefault="0007068C" w:rsidP="0007068C">
      <w:pPr>
        <w:spacing w:after="240" w:line="240" w:lineRule="auto"/>
        <w:outlineLvl w:val="2"/>
        <w:rPr>
          <w:rFonts w:eastAsia="Times New Roman" w:cs="Times New Roman"/>
          <w:b/>
          <w:bCs/>
          <w:kern w:val="0"/>
          <w:sz w:val="28"/>
          <w:szCs w:val="28"/>
          <w14:ligatures w14:val="none"/>
        </w:rPr>
      </w:pPr>
      <w:r w:rsidRPr="0007068C">
        <w:rPr>
          <w:rFonts w:eastAsia="Times New Roman" w:cs="Times New Roman"/>
          <w:b/>
          <w:bCs/>
          <w:kern w:val="0"/>
          <w:sz w:val="28"/>
          <w:szCs w:val="28"/>
          <w14:ligatures w14:val="none"/>
        </w:rPr>
        <w:t>4. Direct On-Ramp for Regulated Stablecoins</w:t>
      </w:r>
    </w:p>
    <w:p w14:paraId="4614A832"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FAB provides the banking "</w:t>
      </w:r>
      <w:proofErr w:type="gramStart"/>
      <w:r w:rsidRPr="0007068C">
        <w:rPr>
          <w:rFonts w:eastAsia="Times New Roman" w:cs="Times New Roman"/>
          <w:kern w:val="0"/>
          <w:sz w:val="22"/>
          <w:szCs w:val="22"/>
          <w14:ligatures w14:val="none"/>
        </w:rPr>
        <w:t>on-ramp</w:t>
      </w:r>
      <w:proofErr w:type="gramEnd"/>
      <w:r w:rsidRPr="0007068C">
        <w:rPr>
          <w:rFonts w:eastAsia="Times New Roman" w:cs="Times New Roman"/>
          <w:kern w:val="0"/>
          <w:sz w:val="22"/>
          <w:szCs w:val="22"/>
          <w14:ligatures w14:val="none"/>
        </w:rPr>
        <w:t xml:space="preserve">" for regulated stablecoin issuers in the </w:t>
      </w:r>
      <w:r w:rsidRPr="0007068C">
        <w:rPr>
          <w:rFonts w:eastAsia="Times New Roman" w:cs="Times New Roman"/>
          <w:b/>
          <w:bCs/>
          <w:kern w:val="0"/>
          <w:sz w:val="22"/>
          <w:szCs w:val="22"/>
          <w14:ligatures w14:val="none"/>
        </w:rPr>
        <w:t>ADGM</w:t>
      </w:r>
      <w:r w:rsidRPr="0007068C">
        <w:rPr>
          <w:rFonts w:eastAsia="Times New Roman" w:cs="Times New Roman"/>
          <w:kern w:val="0"/>
          <w:sz w:val="22"/>
          <w:szCs w:val="22"/>
          <w14:ligatures w14:val="none"/>
        </w:rPr>
        <w:t xml:space="preserve"> and </w:t>
      </w:r>
      <w:r w:rsidRPr="0007068C">
        <w:rPr>
          <w:rFonts w:eastAsia="Times New Roman" w:cs="Times New Roman"/>
          <w:b/>
          <w:bCs/>
          <w:kern w:val="0"/>
          <w:sz w:val="22"/>
          <w:szCs w:val="22"/>
          <w14:ligatures w14:val="none"/>
        </w:rPr>
        <w:t>DIFC</w:t>
      </w:r>
      <w:r w:rsidRPr="0007068C">
        <w:rPr>
          <w:rFonts w:eastAsia="Times New Roman" w:cs="Times New Roman"/>
          <w:kern w:val="0"/>
          <w:sz w:val="22"/>
          <w:szCs w:val="22"/>
          <w14:ligatures w14:val="none"/>
        </w:rPr>
        <w:t>.</w:t>
      </w:r>
    </w:p>
    <w:p w14:paraId="21856C4B" w14:textId="77777777" w:rsidR="0007068C" w:rsidRDefault="0007068C" w:rsidP="0007068C">
      <w:pPr>
        <w:numPr>
          <w:ilvl w:val="0"/>
          <w:numId w:val="4"/>
        </w:numPr>
        <w:spacing w:after="12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Integration:</w:t>
      </w:r>
      <w:r w:rsidRPr="0007068C">
        <w:rPr>
          <w:rFonts w:eastAsia="Times New Roman" w:cs="Times New Roman"/>
          <w:kern w:val="0"/>
          <w:sz w:val="22"/>
          <w:szCs w:val="22"/>
          <w14:ligatures w14:val="none"/>
        </w:rPr>
        <w:t xml:space="preserve"> FAB allows corporate clients to move AED or USD directly into digital wallets for swap into </w:t>
      </w:r>
      <w:r w:rsidRPr="0007068C">
        <w:rPr>
          <w:rFonts w:eastAsia="Times New Roman" w:cs="Times New Roman"/>
          <w:b/>
          <w:bCs/>
          <w:kern w:val="0"/>
          <w:sz w:val="22"/>
          <w:szCs w:val="22"/>
          <w14:ligatures w14:val="none"/>
        </w:rPr>
        <w:t>USDC</w:t>
      </w:r>
      <w:r w:rsidRPr="0007068C">
        <w:rPr>
          <w:rFonts w:eastAsia="Times New Roman" w:cs="Times New Roman"/>
          <w:kern w:val="0"/>
          <w:sz w:val="22"/>
          <w:szCs w:val="22"/>
          <w14:ligatures w14:val="none"/>
        </w:rPr>
        <w:t xml:space="preserve"> or </w:t>
      </w:r>
      <w:r w:rsidRPr="0007068C">
        <w:rPr>
          <w:rFonts w:eastAsia="Times New Roman" w:cs="Times New Roman"/>
          <w:b/>
          <w:bCs/>
          <w:kern w:val="0"/>
          <w:sz w:val="22"/>
          <w:szCs w:val="22"/>
          <w14:ligatures w14:val="none"/>
        </w:rPr>
        <w:t>USDT</w:t>
      </w:r>
      <w:r w:rsidRPr="0007068C">
        <w:rPr>
          <w:rFonts w:eastAsia="Times New Roman" w:cs="Times New Roman"/>
          <w:kern w:val="0"/>
          <w:sz w:val="22"/>
          <w:szCs w:val="22"/>
          <w14:ligatures w14:val="none"/>
        </w:rPr>
        <w:t>, provided the transaction is for a regulated purpose (like trade finance on an MTF).</w:t>
      </w:r>
    </w:p>
    <w:p w14:paraId="06654000" w14:textId="77777777" w:rsidR="0007068C" w:rsidRPr="0007068C" w:rsidRDefault="0007068C" w:rsidP="0007068C">
      <w:pPr>
        <w:spacing w:after="120" w:line="240" w:lineRule="auto"/>
        <w:ind w:left="720"/>
        <w:rPr>
          <w:rFonts w:eastAsia="Times New Roman" w:cs="Times New Roman"/>
          <w:kern w:val="0"/>
          <w:sz w:val="22"/>
          <w:szCs w:val="22"/>
          <w14:ligatures w14:val="none"/>
        </w:rPr>
      </w:pPr>
    </w:p>
    <w:p w14:paraId="169842D4" w14:textId="77777777" w:rsidR="0007068C" w:rsidRPr="0007068C" w:rsidRDefault="0007068C" w:rsidP="0007068C">
      <w:pPr>
        <w:spacing w:after="240" w:line="240" w:lineRule="auto"/>
        <w:outlineLvl w:val="2"/>
        <w:rPr>
          <w:rFonts w:eastAsia="Times New Roman" w:cs="Times New Roman"/>
          <w:b/>
          <w:bCs/>
          <w:kern w:val="0"/>
          <w:sz w:val="28"/>
          <w:szCs w:val="28"/>
          <w14:ligatures w14:val="none"/>
        </w:rPr>
      </w:pPr>
      <w:r w:rsidRPr="0007068C">
        <w:rPr>
          <w:rFonts w:eastAsia="Times New Roman" w:cs="Times New Roman"/>
          <w:b/>
          <w:bCs/>
          <w:kern w:val="0"/>
          <w:sz w:val="28"/>
          <w:szCs w:val="28"/>
          <w14:ligatures w14:val="none"/>
        </w:rPr>
        <w:lastRenderedPageBreak/>
        <w:t>5. Alignment with UAE Stablecoin Regulations</w:t>
      </w:r>
    </w:p>
    <w:p w14:paraId="6A4880BA"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In mid-2024, the Central Bank of the UAE (CBUAE) issued a new framework prohibiting the use of algorithmic stablecoins and requiring 1:1 backing.</w:t>
      </w:r>
    </w:p>
    <w:p w14:paraId="7A7F44DF" w14:textId="77777777" w:rsidR="0007068C" w:rsidRPr="0007068C" w:rsidRDefault="0007068C" w:rsidP="0007068C">
      <w:pPr>
        <w:numPr>
          <w:ilvl w:val="0"/>
          <w:numId w:val="5"/>
        </w:numPr>
        <w:spacing w:after="12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FAB’s Strategy:</w:t>
      </w:r>
      <w:r w:rsidRPr="0007068C">
        <w:rPr>
          <w:rFonts w:eastAsia="Times New Roman" w:cs="Times New Roman"/>
          <w:kern w:val="0"/>
          <w:sz w:val="22"/>
          <w:szCs w:val="22"/>
          <w14:ligatures w14:val="none"/>
        </w:rPr>
        <w:t xml:space="preserve"> FAB has positioned itself as the "Settlement Bank" for this new era. It is currently piloting </w:t>
      </w:r>
      <w:r w:rsidRPr="0007068C">
        <w:rPr>
          <w:rFonts w:eastAsia="Times New Roman" w:cs="Times New Roman"/>
          <w:b/>
          <w:bCs/>
          <w:kern w:val="0"/>
          <w:sz w:val="22"/>
          <w:szCs w:val="22"/>
          <w14:ligatures w14:val="none"/>
        </w:rPr>
        <w:t>"Programmable Payments"</w:t>
      </w:r>
      <w:r w:rsidRPr="0007068C">
        <w:rPr>
          <w:rFonts w:eastAsia="Times New Roman" w:cs="Times New Roman"/>
          <w:kern w:val="0"/>
          <w:sz w:val="22"/>
          <w:szCs w:val="22"/>
          <w14:ligatures w14:val="none"/>
        </w:rPr>
        <w:t xml:space="preserve"> where money is only released from a FAB escrow account to a stablecoin wallet once an </w:t>
      </w:r>
      <w:r w:rsidRPr="0007068C">
        <w:rPr>
          <w:rFonts w:eastAsia="Times New Roman" w:cs="Times New Roman"/>
          <w:b/>
          <w:bCs/>
          <w:kern w:val="0"/>
          <w:sz w:val="22"/>
          <w:szCs w:val="22"/>
          <w14:ligatures w14:val="none"/>
        </w:rPr>
        <w:t>ISO 20022 message</w:t>
      </w:r>
      <w:r w:rsidRPr="0007068C">
        <w:rPr>
          <w:rFonts w:eastAsia="Times New Roman" w:cs="Times New Roman"/>
          <w:kern w:val="0"/>
          <w:sz w:val="22"/>
          <w:szCs w:val="22"/>
          <w14:ligatures w14:val="none"/>
        </w:rPr>
        <w:t xml:space="preserve"> confirms that an </w:t>
      </w:r>
      <w:r w:rsidRPr="0007068C">
        <w:rPr>
          <w:rFonts w:eastAsia="Times New Roman" w:cs="Times New Roman"/>
          <w:b/>
          <w:bCs/>
          <w:kern w:val="0"/>
          <w:sz w:val="22"/>
          <w:szCs w:val="22"/>
          <w14:ligatures w14:val="none"/>
        </w:rPr>
        <w:t>MLETR e-Bill of Lading</w:t>
      </w:r>
      <w:r w:rsidRPr="0007068C">
        <w:rPr>
          <w:rFonts w:eastAsia="Times New Roman" w:cs="Times New Roman"/>
          <w:kern w:val="0"/>
          <w:sz w:val="22"/>
          <w:szCs w:val="22"/>
          <w14:ligatures w14:val="none"/>
        </w:rPr>
        <w:t xml:space="preserve"> has been signed.</w:t>
      </w:r>
    </w:p>
    <w:p w14:paraId="7F820F07" w14:textId="77777777" w:rsidR="0007068C" w:rsidRPr="0007068C" w:rsidRDefault="00000000" w:rsidP="0007068C">
      <w:pPr>
        <w:spacing w:after="120" w:line="240" w:lineRule="auto"/>
        <w:rPr>
          <w:rFonts w:eastAsia="Times New Roman" w:cs="Times New Roman"/>
          <w:kern w:val="0"/>
          <w:sz w:val="22"/>
          <w:szCs w:val="22"/>
          <w14:ligatures w14:val="none"/>
        </w:rPr>
      </w:pPr>
      <w:r>
        <w:rPr>
          <w:rFonts w:eastAsia="Times New Roman" w:cs="Times New Roman"/>
          <w:kern w:val="0"/>
          <w:sz w:val="22"/>
          <w:szCs w:val="22"/>
          <w14:ligatures w14:val="none"/>
        </w:rPr>
        <w:pict w14:anchorId="757BAC1F">
          <v:rect id="_x0000_i1025" style="width:0;height:1.5pt" o:hralign="center" o:hrstd="t" o:hr="t" fillcolor="#a0a0a0" stroked="f"/>
        </w:pict>
      </w:r>
    </w:p>
    <w:p w14:paraId="3B876EAA" w14:textId="77777777" w:rsidR="0007068C" w:rsidRPr="0007068C" w:rsidRDefault="0007068C" w:rsidP="0007068C">
      <w:pPr>
        <w:spacing w:after="120" w:line="240" w:lineRule="auto"/>
        <w:outlineLvl w:val="2"/>
        <w:rPr>
          <w:rFonts w:eastAsia="Times New Roman" w:cs="Times New Roman"/>
          <w:b/>
          <w:bCs/>
          <w:kern w:val="0"/>
          <w:sz w:val="22"/>
          <w:szCs w:val="22"/>
          <w14:ligatures w14:val="none"/>
        </w:rPr>
      </w:pPr>
      <w:r w:rsidRPr="0007068C">
        <w:rPr>
          <w:rFonts w:eastAsia="Times New Roman" w:cs="Times New Roman"/>
          <w:b/>
          <w:bCs/>
          <w:kern w:val="0"/>
          <w:sz w:val="22"/>
          <w:szCs w:val="22"/>
          <w14:ligatures w14:val="none"/>
        </w:rPr>
        <w:t>Summary for GSXC Strategic Planning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8"/>
        <w:gridCol w:w="2625"/>
        <w:gridCol w:w="4513"/>
      </w:tblGrid>
      <w:tr w:rsidR="0007068C" w:rsidRPr="0007068C" w14:paraId="19C5F2C8" w14:textId="77777777">
        <w:trPr>
          <w:tblCellSpacing w:w="15" w:type="dxa"/>
        </w:trPr>
        <w:tc>
          <w:tcPr>
            <w:tcW w:w="0" w:type="auto"/>
            <w:vAlign w:val="center"/>
            <w:hideMark/>
          </w:tcPr>
          <w:p w14:paraId="55AD319E"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Activity</w:t>
            </w:r>
          </w:p>
        </w:tc>
        <w:tc>
          <w:tcPr>
            <w:tcW w:w="0" w:type="auto"/>
            <w:vAlign w:val="center"/>
            <w:hideMark/>
          </w:tcPr>
          <w:p w14:paraId="70556DA3"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FAB’s Capability</w:t>
            </w:r>
          </w:p>
        </w:tc>
        <w:tc>
          <w:tcPr>
            <w:tcW w:w="0" w:type="auto"/>
            <w:vAlign w:val="center"/>
            <w:hideMark/>
          </w:tcPr>
          <w:p w14:paraId="185BEDFE"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Benefit to GSCX</w:t>
            </w:r>
          </w:p>
        </w:tc>
      </w:tr>
      <w:tr w:rsidR="0007068C" w:rsidRPr="0007068C" w14:paraId="5B661DEE" w14:textId="77777777">
        <w:trPr>
          <w:tblCellSpacing w:w="15" w:type="dxa"/>
        </w:trPr>
        <w:tc>
          <w:tcPr>
            <w:tcW w:w="0" w:type="auto"/>
            <w:vAlign w:val="center"/>
            <w:hideMark/>
          </w:tcPr>
          <w:p w14:paraId="59FF9D66"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Atomic Settlement</w:t>
            </w:r>
          </w:p>
        </w:tc>
        <w:tc>
          <w:tcPr>
            <w:tcW w:w="0" w:type="auto"/>
            <w:vAlign w:val="center"/>
            <w:hideMark/>
          </w:tcPr>
          <w:p w14:paraId="3E463B7B"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J.P. Morgan Onyx / mBridge</w:t>
            </w:r>
          </w:p>
        </w:tc>
        <w:tc>
          <w:tcPr>
            <w:tcW w:w="0" w:type="auto"/>
            <w:vAlign w:val="center"/>
            <w:hideMark/>
          </w:tcPr>
          <w:p w14:paraId="2764A6F7"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Instant liquidity for UAE-LMIC corridors.</w:t>
            </w:r>
          </w:p>
        </w:tc>
      </w:tr>
      <w:tr w:rsidR="0007068C" w:rsidRPr="0007068C" w14:paraId="0F2F61AF" w14:textId="77777777">
        <w:trPr>
          <w:tblCellSpacing w:w="15" w:type="dxa"/>
        </w:trPr>
        <w:tc>
          <w:tcPr>
            <w:tcW w:w="0" w:type="auto"/>
            <w:vAlign w:val="center"/>
            <w:hideMark/>
          </w:tcPr>
          <w:p w14:paraId="7797293F"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Custody</w:t>
            </w:r>
          </w:p>
        </w:tc>
        <w:tc>
          <w:tcPr>
            <w:tcW w:w="0" w:type="auto"/>
            <w:vAlign w:val="center"/>
            <w:hideMark/>
          </w:tcPr>
          <w:p w14:paraId="7D164467"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Institutional Grade</w:t>
            </w:r>
          </w:p>
        </w:tc>
        <w:tc>
          <w:tcPr>
            <w:tcW w:w="0" w:type="auto"/>
            <w:vAlign w:val="center"/>
            <w:hideMark/>
          </w:tcPr>
          <w:p w14:paraId="5A4B209F"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Safe haven for IIGB Captive reserves.</w:t>
            </w:r>
          </w:p>
        </w:tc>
      </w:tr>
      <w:tr w:rsidR="0007068C" w:rsidRPr="0007068C" w14:paraId="6ECD1650" w14:textId="77777777">
        <w:trPr>
          <w:tblCellSpacing w:w="15" w:type="dxa"/>
        </w:trPr>
        <w:tc>
          <w:tcPr>
            <w:tcW w:w="0" w:type="auto"/>
            <w:vAlign w:val="center"/>
            <w:hideMark/>
          </w:tcPr>
          <w:p w14:paraId="27C33BF6"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Compliance</w:t>
            </w:r>
          </w:p>
        </w:tc>
        <w:tc>
          <w:tcPr>
            <w:tcW w:w="0" w:type="auto"/>
            <w:vAlign w:val="center"/>
            <w:hideMark/>
          </w:tcPr>
          <w:p w14:paraId="07E0077D"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ISO 20022 Native</w:t>
            </w:r>
          </w:p>
        </w:tc>
        <w:tc>
          <w:tcPr>
            <w:tcW w:w="0" w:type="auto"/>
            <w:vAlign w:val="center"/>
            <w:hideMark/>
          </w:tcPr>
          <w:p w14:paraId="388C05F3"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Seamless integration with your messaging bus.</w:t>
            </w:r>
          </w:p>
        </w:tc>
      </w:tr>
      <w:tr w:rsidR="0007068C" w:rsidRPr="0007068C" w14:paraId="629BE806" w14:textId="77777777">
        <w:trPr>
          <w:tblCellSpacing w:w="15" w:type="dxa"/>
        </w:trPr>
        <w:tc>
          <w:tcPr>
            <w:tcW w:w="0" w:type="auto"/>
            <w:vAlign w:val="center"/>
            <w:hideMark/>
          </w:tcPr>
          <w:p w14:paraId="4CDDEF80"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Tradetech</w:t>
            </w:r>
          </w:p>
        </w:tc>
        <w:tc>
          <w:tcPr>
            <w:tcW w:w="0" w:type="auto"/>
            <w:vAlign w:val="center"/>
            <w:hideMark/>
          </w:tcPr>
          <w:p w14:paraId="7939E5D3"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Digital Asset Custody</w:t>
            </w:r>
          </w:p>
        </w:tc>
        <w:tc>
          <w:tcPr>
            <w:tcW w:w="0" w:type="auto"/>
            <w:vAlign w:val="center"/>
            <w:hideMark/>
          </w:tcPr>
          <w:p w14:paraId="3D32D82C"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Legal bridge for clearinghouse "Initial Margin."</w:t>
            </w:r>
          </w:p>
        </w:tc>
      </w:tr>
    </w:tbl>
    <w:p w14:paraId="1221186E" w14:textId="77777777" w:rsidR="0007068C" w:rsidRPr="0007068C" w:rsidRDefault="0007068C" w:rsidP="0007068C">
      <w:pPr>
        <w:spacing w:before="120" w:after="120" w:line="240" w:lineRule="auto"/>
        <w:outlineLvl w:val="2"/>
        <w:rPr>
          <w:rFonts w:eastAsia="Times New Roman" w:cs="Times New Roman"/>
          <w:b/>
          <w:bCs/>
          <w:kern w:val="0"/>
          <w:sz w:val="22"/>
          <w:szCs w:val="22"/>
          <w14:ligatures w14:val="none"/>
        </w:rPr>
      </w:pPr>
      <w:r w:rsidRPr="0007068C">
        <w:rPr>
          <w:rFonts w:eastAsia="Times New Roman" w:cs="Times New Roman"/>
          <w:b/>
          <w:bCs/>
          <w:kern w:val="0"/>
          <w:sz w:val="22"/>
          <w:szCs w:val="22"/>
          <w14:ligatures w14:val="none"/>
        </w:rPr>
        <w:t>Why this matters for the "Bermuda Bridge":</w:t>
      </w:r>
    </w:p>
    <w:p w14:paraId="1AB2FD2B" w14:textId="77777777" w:rsidR="0007068C" w:rsidRPr="0007068C" w:rsidRDefault="0007068C" w:rsidP="0007068C">
      <w:pPr>
        <w:spacing w:after="120" w:line="240" w:lineRule="auto"/>
        <w:rPr>
          <w:rFonts w:eastAsia="Times New Roman" w:cs="Times New Roman"/>
          <w:kern w:val="0"/>
          <w:sz w:val="22"/>
          <w:szCs w:val="22"/>
          <w14:ligatures w14:val="none"/>
        </w:rPr>
      </w:pPr>
      <w:r w:rsidRPr="0007068C">
        <w:rPr>
          <w:rFonts w:eastAsia="Times New Roman" w:cs="Times New Roman"/>
          <w:kern w:val="0"/>
          <w:sz w:val="22"/>
          <w:szCs w:val="22"/>
          <w14:ligatures w14:val="none"/>
        </w:rPr>
        <w:t xml:space="preserve">If FAB is your banking partner in the UAE, the </w:t>
      </w:r>
      <w:r w:rsidRPr="0007068C">
        <w:rPr>
          <w:rFonts w:eastAsia="Times New Roman" w:cs="Times New Roman"/>
          <w:b/>
          <w:bCs/>
          <w:kern w:val="0"/>
          <w:sz w:val="22"/>
          <w:szCs w:val="22"/>
          <w14:ligatures w14:val="none"/>
        </w:rPr>
        <w:t>Bermuda Monetary Authority (BMA)</w:t>
      </w:r>
      <w:r w:rsidRPr="0007068C">
        <w:rPr>
          <w:rFonts w:eastAsia="Times New Roman" w:cs="Times New Roman"/>
          <w:kern w:val="0"/>
          <w:sz w:val="22"/>
          <w:szCs w:val="22"/>
          <w14:ligatures w14:val="none"/>
        </w:rPr>
        <w:t xml:space="preserve"> is much more likely to approve your </w:t>
      </w:r>
      <w:r w:rsidRPr="0007068C">
        <w:rPr>
          <w:rFonts w:eastAsia="Times New Roman" w:cs="Times New Roman"/>
          <w:b/>
          <w:bCs/>
          <w:kern w:val="0"/>
          <w:sz w:val="22"/>
          <w:szCs w:val="22"/>
          <w14:ligatures w14:val="none"/>
        </w:rPr>
        <w:t>Class M Clearinghouse</w:t>
      </w:r>
      <w:r w:rsidRPr="0007068C">
        <w:rPr>
          <w:rFonts w:eastAsia="Times New Roman" w:cs="Times New Roman"/>
          <w:kern w:val="0"/>
          <w:sz w:val="22"/>
          <w:szCs w:val="22"/>
          <w14:ligatures w14:val="none"/>
        </w:rPr>
        <w:t xml:space="preserve"> license. The BMA views FAB as a "top-tier" institution that satisfies all global AML, KYC, and "Fit and Proper" requirements, making the </w:t>
      </w:r>
      <w:r w:rsidRPr="0007068C">
        <w:rPr>
          <w:rFonts w:eastAsia="Times New Roman" w:cs="Times New Roman"/>
          <w:b/>
          <w:bCs/>
          <w:kern w:val="0"/>
          <w:sz w:val="22"/>
          <w:szCs w:val="22"/>
          <w14:ligatures w14:val="none"/>
        </w:rPr>
        <w:t>Regulatory Bridge</w:t>
      </w:r>
      <w:r w:rsidRPr="0007068C">
        <w:rPr>
          <w:rFonts w:eastAsia="Times New Roman" w:cs="Times New Roman"/>
          <w:kern w:val="0"/>
          <w:sz w:val="22"/>
          <w:szCs w:val="22"/>
          <w14:ligatures w14:val="none"/>
        </w:rPr>
        <w:t xml:space="preserve"> significantly easier to cross.</w:t>
      </w:r>
    </w:p>
    <w:p w14:paraId="5FA71FDA" w14:textId="77777777" w:rsidR="0007068C" w:rsidRPr="0007068C" w:rsidRDefault="0007068C" w:rsidP="0007068C">
      <w:pPr>
        <w:spacing w:after="120" w:line="240" w:lineRule="auto"/>
        <w:rPr>
          <w:rFonts w:eastAsia="Times New Roman" w:cs="Times New Roman"/>
          <w:kern w:val="0"/>
          <w14:ligatures w14:val="none"/>
        </w:rPr>
      </w:pPr>
      <w:r w:rsidRPr="0007068C">
        <w:rPr>
          <w:rFonts w:eastAsia="Times New Roman" w:cs="Times New Roman"/>
          <w:b/>
          <w:bCs/>
          <w:kern w:val="0"/>
          <w14:ligatures w14:val="none"/>
        </w:rPr>
        <w:t>Sources:</w:t>
      </w:r>
    </w:p>
    <w:p w14:paraId="297DE81B" w14:textId="77777777" w:rsidR="0007068C" w:rsidRPr="0007068C" w:rsidRDefault="0007068C" w:rsidP="00D05DE8">
      <w:pPr>
        <w:numPr>
          <w:ilvl w:val="0"/>
          <w:numId w:val="6"/>
        </w:numPr>
        <w:spacing w:after="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FAB Investor Relations:</w:t>
      </w:r>
      <w:r w:rsidRPr="0007068C">
        <w:rPr>
          <w:rFonts w:eastAsia="Times New Roman" w:cs="Times New Roman"/>
          <w:kern w:val="0"/>
          <w:sz w:val="22"/>
          <w:szCs w:val="22"/>
          <w14:ligatures w14:val="none"/>
        </w:rPr>
        <w:t xml:space="preserve"> </w:t>
      </w:r>
      <w:r w:rsidRPr="0007068C">
        <w:rPr>
          <w:rFonts w:eastAsia="Times New Roman" w:cs="Times New Roman"/>
          <w:i/>
          <w:iCs/>
          <w:kern w:val="0"/>
          <w:sz w:val="22"/>
          <w:szCs w:val="22"/>
          <w14:ligatures w14:val="none"/>
        </w:rPr>
        <w:t>Digital Assets and Innovation Roadmap 2025.</w:t>
      </w:r>
    </w:p>
    <w:p w14:paraId="5E3E1B97" w14:textId="77777777" w:rsidR="0007068C" w:rsidRPr="0007068C" w:rsidRDefault="0007068C" w:rsidP="00D05DE8">
      <w:pPr>
        <w:numPr>
          <w:ilvl w:val="0"/>
          <w:numId w:val="6"/>
        </w:numPr>
        <w:spacing w:after="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CBUAE:</w:t>
      </w:r>
      <w:r w:rsidRPr="0007068C">
        <w:rPr>
          <w:rFonts w:eastAsia="Times New Roman" w:cs="Times New Roman"/>
          <w:kern w:val="0"/>
          <w:sz w:val="22"/>
          <w:szCs w:val="22"/>
          <w14:ligatures w14:val="none"/>
        </w:rPr>
        <w:t xml:space="preserve"> </w:t>
      </w:r>
      <w:r w:rsidRPr="0007068C">
        <w:rPr>
          <w:rFonts w:eastAsia="Times New Roman" w:cs="Times New Roman"/>
          <w:i/>
          <w:iCs/>
          <w:kern w:val="0"/>
          <w:sz w:val="22"/>
          <w:szCs w:val="22"/>
          <w14:ligatures w14:val="none"/>
        </w:rPr>
        <w:t>Payment Token Services Regulation (June 2024).</w:t>
      </w:r>
    </w:p>
    <w:p w14:paraId="0FB54A26" w14:textId="77777777" w:rsidR="0007068C" w:rsidRPr="0007068C" w:rsidRDefault="0007068C" w:rsidP="00D05DE8">
      <w:pPr>
        <w:numPr>
          <w:ilvl w:val="0"/>
          <w:numId w:val="6"/>
        </w:numPr>
        <w:spacing w:after="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BIS Innovation Hub:</w:t>
      </w:r>
      <w:r w:rsidRPr="0007068C">
        <w:rPr>
          <w:rFonts w:eastAsia="Times New Roman" w:cs="Times New Roman"/>
          <w:kern w:val="0"/>
          <w:sz w:val="22"/>
          <w:szCs w:val="22"/>
          <w14:ligatures w14:val="none"/>
        </w:rPr>
        <w:t xml:space="preserve"> </w:t>
      </w:r>
      <w:r w:rsidRPr="0007068C">
        <w:rPr>
          <w:rFonts w:eastAsia="Times New Roman" w:cs="Times New Roman"/>
          <w:i/>
          <w:iCs/>
          <w:kern w:val="0"/>
          <w:sz w:val="22"/>
          <w:szCs w:val="22"/>
          <w14:ligatures w14:val="none"/>
        </w:rPr>
        <w:t>Project mBridge Final Pilot Report.</w:t>
      </w:r>
    </w:p>
    <w:p w14:paraId="38EA4290" w14:textId="77777777" w:rsidR="0007068C" w:rsidRPr="0007068C" w:rsidRDefault="0007068C" w:rsidP="00D05DE8">
      <w:pPr>
        <w:numPr>
          <w:ilvl w:val="0"/>
          <w:numId w:val="6"/>
        </w:numPr>
        <w:spacing w:after="0" w:line="240" w:lineRule="auto"/>
        <w:rPr>
          <w:rFonts w:eastAsia="Times New Roman" w:cs="Times New Roman"/>
          <w:kern w:val="0"/>
          <w:sz w:val="22"/>
          <w:szCs w:val="22"/>
          <w14:ligatures w14:val="none"/>
        </w:rPr>
      </w:pPr>
      <w:r w:rsidRPr="0007068C">
        <w:rPr>
          <w:rFonts w:eastAsia="Times New Roman" w:cs="Times New Roman"/>
          <w:b/>
          <w:bCs/>
          <w:kern w:val="0"/>
          <w:sz w:val="22"/>
          <w:szCs w:val="22"/>
          <w14:ligatures w14:val="none"/>
        </w:rPr>
        <w:t>J.P. Morgan Onyx:</w:t>
      </w:r>
      <w:r w:rsidRPr="0007068C">
        <w:rPr>
          <w:rFonts w:eastAsia="Times New Roman" w:cs="Times New Roman"/>
          <w:kern w:val="0"/>
          <w:sz w:val="22"/>
          <w:szCs w:val="22"/>
          <w14:ligatures w14:val="none"/>
        </w:rPr>
        <w:t xml:space="preserve"> </w:t>
      </w:r>
      <w:r w:rsidRPr="0007068C">
        <w:rPr>
          <w:rFonts w:eastAsia="Times New Roman" w:cs="Times New Roman"/>
          <w:i/>
          <w:iCs/>
          <w:kern w:val="0"/>
          <w:sz w:val="22"/>
          <w:szCs w:val="22"/>
          <w14:ligatures w14:val="none"/>
        </w:rPr>
        <w:t>Case Study: First Abu Dhabi Bank Cross-Border Tokenized Payments.</w:t>
      </w:r>
    </w:p>
    <w:p w14:paraId="558B5A7A" w14:textId="77777777" w:rsidR="00A03483" w:rsidRDefault="00A03483" w:rsidP="0007068C">
      <w:pPr>
        <w:spacing w:after="120" w:line="240" w:lineRule="auto"/>
        <w:rPr>
          <w:sz w:val="22"/>
          <w:szCs w:val="22"/>
        </w:rPr>
      </w:pPr>
    </w:p>
    <w:p w14:paraId="4CD88A33" w14:textId="77777777" w:rsidR="00D05DE8" w:rsidRDefault="00D05DE8" w:rsidP="0007068C">
      <w:pPr>
        <w:spacing w:after="120" w:line="240" w:lineRule="auto"/>
        <w:rPr>
          <w:sz w:val="22"/>
          <w:szCs w:val="22"/>
        </w:rPr>
      </w:pPr>
    </w:p>
    <w:p w14:paraId="59B71B70" w14:textId="0142FF99" w:rsidR="00500B90" w:rsidRPr="00500B90" w:rsidRDefault="00500B90" w:rsidP="00500B90">
      <w:pPr>
        <w:spacing w:after="120" w:line="240" w:lineRule="auto"/>
        <w:rPr>
          <w:b/>
          <w:bCs/>
          <w:sz w:val="28"/>
          <w:szCs w:val="28"/>
        </w:rPr>
      </w:pPr>
      <w:r w:rsidRPr="00500B90">
        <w:rPr>
          <w:b/>
          <w:bCs/>
          <w:sz w:val="28"/>
          <w:szCs w:val="28"/>
        </w:rPr>
        <w:t>Appendix</w:t>
      </w:r>
    </w:p>
    <w:p w14:paraId="4AFF49B9" w14:textId="77777777" w:rsidR="00500B90" w:rsidRPr="00500B90" w:rsidRDefault="00500B90" w:rsidP="00500B90">
      <w:pPr>
        <w:spacing w:after="120" w:line="240" w:lineRule="auto"/>
        <w:rPr>
          <w:rFonts w:eastAsia="Times New Roman" w:cs="Times New Roman"/>
          <w:kern w:val="0"/>
          <w:sz w:val="22"/>
          <w:szCs w:val="22"/>
          <w14:ligatures w14:val="none"/>
        </w:rPr>
      </w:pPr>
      <w:r w:rsidRPr="00500B90">
        <w:rPr>
          <w:rFonts w:eastAsia="Times New Roman" w:cs="Times New Roman"/>
          <w:kern w:val="0"/>
          <w:sz w:val="22"/>
          <w:szCs w:val="22"/>
          <w14:ligatures w14:val="none"/>
        </w:rPr>
        <w:t xml:space="preserve">As of early 2026, </w:t>
      </w:r>
      <w:r w:rsidRPr="00500B90">
        <w:rPr>
          <w:rFonts w:eastAsia="Times New Roman" w:cs="Times New Roman"/>
          <w:b/>
          <w:bCs/>
          <w:kern w:val="0"/>
          <w:sz w:val="22"/>
          <w:szCs w:val="22"/>
          <w14:ligatures w14:val="none"/>
        </w:rPr>
        <w:t>First Abu Dhabi Bank (FAB)</w:t>
      </w:r>
      <w:r w:rsidRPr="00500B90">
        <w:rPr>
          <w:rFonts w:eastAsia="Times New Roman" w:cs="Times New Roman"/>
          <w:kern w:val="0"/>
          <w:sz w:val="22"/>
          <w:szCs w:val="22"/>
          <w14:ligatures w14:val="none"/>
        </w:rPr>
        <w:t xml:space="preserve"> is the dominant "Financial Bridge" for trade between the UAE and high-growth Low- and Middle-Income Countries (LMICs). Following the UAE’s aggressive expansion of </w:t>
      </w:r>
      <w:r w:rsidRPr="00500B90">
        <w:rPr>
          <w:rFonts w:eastAsia="Times New Roman" w:cs="Times New Roman"/>
          <w:b/>
          <w:bCs/>
          <w:kern w:val="0"/>
          <w:sz w:val="22"/>
          <w:szCs w:val="22"/>
          <w14:ligatures w14:val="none"/>
        </w:rPr>
        <w:t>Comprehensive Economic Partnership Agreements (CEPA)</w:t>
      </w:r>
      <w:r w:rsidRPr="00500B90">
        <w:rPr>
          <w:rFonts w:eastAsia="Times New Roman" w:cs="Times New Roman"/>
          <w:kern w:val="0"/>
          <w:sz w:val="22"/>
          <w:szCs w:val="22"/>
          <w14:ligatures w14:val="none"/>
        </w:rPr>
        <w:t>, FAB has positioned itself as the primary liquidity provider for non-G10 currency corridors.</w:t>
      </w:r>
    </w:p>
    <w:p w14:paraId="3EBC23F6" w14:textId="77777777" w:rsidR="00500B90" w:rsidRPr="00500B90" w:rsidRDefault="00500B90" w:rsidP="00500B90">
      <w:pPr>
        <w:spacing w:after="120" w:line="240" w:lineRule="auto"/>
        <w:rPr>
          <w:rFonts w:eastAsia="Times New Roman" w:cs="Times New Roman"/>
          <w:kern w:val="0"/>
          <w:sz w:val="22"/>
          <w:szCs w:val="22"/>
          <w14:ligatures w14:val="none"/>
        </w:rPr>
      </w:pPr>
      <w:r w:rsidRPr="00500B90">
        <w:rPr>
          <w:rFonts w:eastAsia="Times New Roman" w:cs="Times New Roman"/>
          <w:kern w:val="0"/>
          <w:sz w:val="22"/>
          <w:szCs w:val="22"/>
          <w14:ligatures w14:val="none"/>
        </w:rPr>
        <w:t xml:space="preserve">For your </w:t>
      </w:r>
      <w:r w:rsidRPr="00500B90">
        <w:rPr>
          <w:rFonts w:eastAsia="Times New Roman" w:cs="Times New Roman"/>
          <w:b/>
          <w:bCs/>
          <w:kern w:val="0"/>
          <w:sz w:val="22"/>
          <w:szCs w:val="22"/>
          <w14:ligatures w14:val="none"/>
        </w:rPr>
        <w:t>GSXC</w:t>
      </w:r>
      <w:r w:rsidRPr="00500B90">
        <w:rPr>
          <w:rFonts w:eastAsia="Times New Roman" w:cs="Times New Roman"/>
          <w:kern w:val="0"/>
          <w:sz w:val="22"/>
          <w:szCs w:val="22"/>
          <w14:ligatures w14:val="none"/>
        </w:rPr>
        <w:t xml:space="preserve"> project, FAB is the essential "Hub Bank" for three specific LMIC regions: </w:t>
      </w:r>
      <w:r w:rsidRPr="00500B90">
        <w:rPr>
          <w:rFonts w:eastAsia="Times New Roman" w:cs="Times New Roman"/>
          <w:b/>
          <w:bCs/>
          <w:kern w:val="0"/>
          <w:sz w:val="22"/>
          <w:szCs w:val="22"/>
          <w14:ligatures w14:val="none"/>
        </w:rPr>
        <w:t>MENA (mainly Egypt)</w:t>
      </w:r>
      <w:r w:rsidRPr="00500B90">
        <w:rPr>
          <w:rFonts w:eastAsia="Times New Roman" w:cs="Times New Roman"/>
          <w:kern w:val="0"/>
          <w:sz w:val="22"/>
          <w:szCs w:val="22"/>
          <w14:ligatures w14:val="none"/>
        </w:rPr>
        <w:t xml:space="preserve">, </w:t>
      </w:r>
      <w:r w:rsidRPr="00500B90">
        <w:rPr>
          <w:rFonts w:eastAsia="Times New Roman" w:cs="Times New Roman"/>
          <w:b/>
          <w:bCs/>
          <w:kern w:val="0"/>
          <w:sz w:val="22"/>
          <w:szCs w:val="22"/>
          <w14:ligatures w14:val="none"/>
        </w:rPr>
        <w:t>South Asia (India/Pakistan)</w:t>
      </w:r>
      <w:r w:rsidRPr="00500B90">
        <w:rPr>
          <w:rFonts w:eastAsia="Times New Roman" w:cs="Times New Roman"/>
          <w:kern w:val="0"/>
          <w:sz w:val="22"/>
          <w:szCs w:val="22"/>
          <w14:ligatures w14:val="none"/>
        </w:rPr>
        <w:t xml:space="preserve">, and </w:t>
      </w:r>
      <w:r w:rsidRPr="00500B90">
        <w:rPr>
          <w:rFonts w:eastAsia="Times New Roman" w:cs="Times New Roman"/>
          <w:b/>
          <w:bCs/>
          <w:kern w:val="0"/>
          <w:sz w:val="22"/>
          <w:szCs w:val="22"/>
          <w14:ligatures w14:val="none"/>
        </w:rPr>
        <w:t>East Asia (China/Vietnam)</w:t>
      </w:r>
      <w:r w:rsidRPr="00500B90">
        <w:rPr>
          <w:rFonts w:eastAsia="Times New Roman" w:cs="Times New Roman"/>
          <w:kern w:val="0"/>
          <w:sz w:val="22"/>
          <w:szCs w:val="22"/>
          <w14:ligatures w14:val="none"/>
        </w:rPr>
        <w:t>.</w:t>
      </w:r>
    </w:p>
    <w:p w14:paraId="52BC6178" w14:textId="238212AC" w:rsidR="00500B90" w:rsidRDefault="00500B90" w:rsidP="00500B90">
      <w:pPr>
        <w:spacing w:after="0" w:line="240" w:lineRule="auto"/>
        <w:rPr>
          <w:rFonts w:eastAsia="Times New Roman" w:cs="Times New Roman"/>
          <w:kern w:val="0"/>
          <w:sz w:val="22"/>
          <w:szCs w:val="22"/>
          <w14:ligatures w14:val="none"/>
        </w:rPr>
      </w:pPr>
    </w:p>
    <w:p w14:paraId="6E9A86BB" w14:textId="77777777" w:rsidR="00500B90" w:rsidRDefault="00500B90" w:rsidP="00500B90">
      <w:pPr>
        <w:spacing w:after="0" w:line="240" w:lineRule="auto"/>
        <w:rPr>
          <w:rFonts w:eastAsia="Times New Roman" w:cs="Times New Roman"/>
          <w:kern w:val="0"/>
          <w:sz w:val="22"/>
          <w:szCs w:val="22"/>
          <w14:ligatures w14:val="none"/>
        </w:rPr>
      </w:pPr>
    </w:p>
    <w:p w14:paraId="73DF8E53" w14:textId="77777777" w:rsidR="00500B90" w:rsidRDefault="00500B90" w:rsidP="00500B90">
      <w:pPr>
        <w:spacing w:after="0" w:line="240" w:lineRule="auto"/>
        <w:rPr>
          <w:rFonts w:eastAsia="Times New Roman" w:cs="Times New Roman"/>
          <w:kern w:val="0"/>
          <w:sz w:val="22"/>
          <w:szCs w:val="22"/>
          <w14:ligatures w14:val="none"/>
        </w:rPr>
      </w:pPr>
    </w:p>
    <w:p w14:paraId="24EAA457" w14:textId="77777777" w:rsidR="00500B90" w:rsidRPr="00500B90" w:rsidRDefault="00500B90" w:rsidP="00500B90">
      <w:pPr>
        <w:spacing w:after="0" w:line="240" w:lineRule="auto"/>
        <w:rPr>
          <w:rFonts w:eastAsia="Times New Roman" w:cs="Times New Roman"/>
          <w:kern w:val="0"/>
          <w:sz w:val="22"/>
          <w:szCs w:val="22"/>
          <w14:ligatures w14:val="none"/>
        </w:rPr>
      </w:pPr>
    </w:p>
    <w:p w14:paraId="1FF40EEA" w14:textId="77777777" w:rsidR="00500B90" w:rsidRPr="00500B90" w:rsidRDefault="00500B90" w:rsidP="00500B90">
      <w:pPr>
        <w:spacing w:after="120" w:line="240" w:lineRule="auto"/>
        <w:outlineLvl w:val="2"/>
        <w:rPr>
          <w:rFonts w:eastAsia="Times New Roman" w:cs="Times New Roman"/>
          <w:b/>
          <w:bCs/>
          <w:kern w:val="0"/>
          <w:sz w:val="22"/>
          <w:szCs w:val="22"/>
          <w14:ligatures w14:val="none"/>
        </w:rPr>
      </w:pPr>
      <w:r w:rsidRPr="00500B90">
        <w:rPr>
          <w:rFonts w:eastAsia="Times New Roman" w:cs="Times New Roman"/>
          <w:b/>
          <w:bCs/>
          <w:kern w:val="0"/>
          <w:sz w:val="22"/>
          <w:szCs w:val="22"/>
          <w14:ligatures w14:val="none"/>
        </w:rPr>
        <w:lastRenderedPageBreak/>
        <w:t>1. The Egypt Stronghold (Gateway to Africa)</w:t>
      </w:r>
    </w:p>
    <w:p w14:paraId="70ECE412" w14:textId="77777777" w:rsidR="00500B90" w:rsidRPr="00500B90" w:rsidRDefault="00500B90" w:rsidP="00500B90">
      <w:pPr>
        <w:spacing w:after="120" w:line="240" w:lineRule="auto"/>
        <w:rPr>
          <w:rFonts w:eastAsia="Times New Roman" w:cs="Times New Roman"/>
          <w:kern w:val="0"/>
          <w:sz w:val="22"/>
          <w:szCs w:val="22"/>
          <w14:ligatures w14:val="none"/>
        </w:rPr>
      </w:pPr>
      <w:r w:rsidRPr="00500B90">
        <w:rPr>
          <w:rFonts w:eastAsia="Times New Roman" w:cs="Times New Roman"/>
          <w:kern w:val="0"/>
          <w:sz w:val="22"/>
          <w:szCs w:val="22"/>
          <w14:ligatures w14:val="none"/>
        </w:rPr>
        <w:t xml:space="preserve">Egypt is FAB’s most significant LMIC market. Following the acquisition of Bank Audi’s Egypt operations, </w:t>
      </w:r>
      <w:r w:rsidRPr="00500B90">
        <w:rPr>
          <w:rFonts w:eastAsia="Times New Roman" w:cs="Times New Roman"/>
          <w:b/>
          <w:bCs/>
          <w:kern w:val="0"/>
          <w:sz w:val="22"/>
          <w:szCs w:val="22"/>
          <w14:ligatures w14:val="none"/>
        </w:rPr>
        <w:t>FABMISR</w:t>
      </w:r>
      <w:r w:rsidRPr="00500B90">
        <w:rPr>
          <w:rFonts w:eastAsia="Times New Roman" w:cs="Times New Roman"/>
          <w:kern w:val="0"/>
          <w:sz w:val="22"/>
          <w:szCs w:val="22"/>
          <w14:ligatures w14:val="none"/>
        </w:rPr>
        <w:t xml:space="preserve"> has become one of the largest private banks in the country.</w:t>
      </w:r>
    </w:p>
    <w:p w14:paraId="4AF6882A" w14:textId="77777777" w:rsidR="00500B90" w:rsidRPr="00500B90" w:rsidRDefault="00500B90" w:rsidP="00500B90">
      <w:pPr>
        <w:numPr>
          <w:ilvl w:val="0"/>
          <w:numId w:val="7"/>
        </w:numPr>
        <w:spacing w:after="12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Trade Finance Leadership:</w:t>
      </w:r>
      <w:r w:rsidRPr="00500B90">
        <w:rPr>
          <w:rFonts w:eastAsia="Times New Roman" w:cs="Times New Roman"/>
          <w:kern w:val="0"/>
          <w:sz w:val="22"/>
          <w:szCs w:val="22"/>
          <w14:ligatures w14:val="none"/>
        </w:rPr>
        <w:t xml:space="preserve"> FAB handles a massive share of the export trade from the Nile Delta (Agri-products) to the GCC.</w:t>
      </w:r>
    </w:p>
    <w:p w14:paraId="6ED29663" w14:textId="77777777" w:rsidR="00500B90" w:rsidRPr="00500B90" w:rsidRDefault="00500B90" w:rsidP="00500B90">
      <w:pPr>
        <w:numPr>
          <w:ilvl w:val="0"/>
          <w:numId w:val="7"/>
        </w:numPr>
        <w:spacing w:after="12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Remittance Netting:</w:t>
      </w:r>
      <w:r w:rsidRPr="00500B90">
        <w:rPr>
          <w:rFonts w:eastAsia="Times New Roman" w:cs="Times New Roman"/>
          <w:kern w:val="0"/>
          <w:sz w:val="22"/>
          <w:szCs w:val="22"/>
          <w14:ligatures w14:val="none"/>
        </w:rPr>
        <w:t xml:space="preserve"> FAB is a primary partner for </w:t>
      </w:r>
      <w:r w:rsidRPr="00500B90">
        <w:rPr>
          <w:rFonts w:eastAsia="Times New Roman" w:cs="Times New Roman"/>
          <w:b/>
          <w:bCs/>
          <w:kern w:val="0"/>
          <w:sz w:val="22"/>
          <w:szCs w:val="22"/>
          <w14:ligatures w14:val="none"/>
        </w:rPr>
        <w:t>remittance aggregators</w:t>
      </w:r>
      <w:r w:rsidRPr="00500B90">
        <w:rPr>
          <w:rFonts w:eastAsia="Times New Roman" w:cs="Times New Roman"/>
          <w:kern w:val="0"/>
          <w:sz w:val="22"/>
          <w:szCs w:val="22"/>
          <w14:ligatures w14:val="none"/>
        </w:rPr>
        <w:t xml:space="preserve"> in the UAE. They facilitate the "Netting" of AED collected in Dubai against EGP (Egyptian Pound) payouts in Cairo, helping stabilize the EGP through structured USD inflows.</w:t>
      </w:r>
    </w:p>
    <w:p w14:paraId="1FE039B8" w14:textId="77777777" w:rsidR="00500B90" w:rsidRPr="00500B90" w:rsidRDefault="00500B90" w:rsidP="00500B90">
      <w:pPr>
        <w:numPr>
          <w:ilvl w:val="0"/>
          <w:numId w:val="7"/>
        </w:numPr>
        <w:spacing w:after="12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Non-Convertible Solutions:</w:t>
      </w:r>
      <w:r w:rsidRPr="00500B90">
        <w:rPr>
          <w:rFonts w:eastAsia="Times New Roman" w:cs="Times New Roman"/>
          <w:kern w:val="0"/>
          <w:sz w:val="22"/>
          <w:szCs w:val="22"/>
          <w14:ligatures w14:val="none"/>
        </w:rPr>
        <w:t xml:space="preserve"> Because FAB has a heavy presence on both sides (UAE and Egypt), they allow corporate clients to settle trade in a closed loop, bypassing the scarcity of physical USD in the Egyptian market.</w:t>
      </w:r>
    </w:p>
    <w:p w14:paraId="78131517" w14:textId="77777777" w:rsidR="00500B90" w:rsidRPr="00500B90" w:rsidRDefault="00500B90" w:rsidP="00500B90">
      <w:pPr>
        <w:spacing w:after="120" w:line="240" w:lineRule="auto"/>
        <w:outlineLvl w:val="2"/>
        <w:rPr>
          <w:rFonts w:eastAsia="Times New Roman" w:cs="Times New Roman"/>
          <w:b/>
          <w:bCs/>
          <w:kern w:val="0"/>
          <w:sz w:val="22"/>
          <w:szCs w:val="22"/>
          <w14:ligatures w14:val="none"/>
        </w:rPr>
      </w:pPr>
      <w:r w:rsidRPr="00500B90">
        <w:rPr>
          <w:rFonts w:eastAsia="Times New Roman" w:cs="Times New Roman"/>
          <w:b/>
          <w:bCs/>
          <w:kern w:val="0"/>
          <w:sz w:val="22"/>
          <w:szCs w:val="22"/>
          <w14:ligatures w14:val="none"/>
        </w:rPr>
        <w:t>2. The UAE-India CEPA Corridor</w:t>
      </w:r>
    </w:p>
    <w:p w14:paraId="0F1D1DFA" w14:textId="77777777" w:rsidR="00500B90" w:rsidRPr="00500B90" w:rsidRDefault="00500B90" w:rsidP="00500B90">
      <w:pPr>
        <w:spacing w:after="120" w:line="240" w:lineRule="auto"/>
        <w:rPr>
          <w:rFonts w:eastAsia="Times New Roman" w:cs="Times New Roman"/>
          <w:kern w:val="0"/>
          <w:sz w:val="22"/>
          <w:szCs w:val="22"/>
          <w14:ligatures w14:val="none"/>
        </w:rPr>
      </w:pPr>
      <w:r w:rsidRPr="00500B90">
        <w:rPr>
          <w:rFonts w:eastAsia="Times New Roman" w:cs="Times New Roman"/>
          <w:kern w:val="0"/>
          <w:sz w:val="22"/>
          <w:szCs w:val="22"/>
          <w14:ligatures w14:val="none"/>
        </w:rPr>
        <w:t>Since the signing of the CEPA in 2022, FAB has led the effort to digitize trade with India, the world’s largest recipient of remittances.</w:t>
      </w:r>
    </w:p>
    <w:p w14:paraId="6B13B4CB" w14:textId="77777777" w:rsidR="00500B90" w:rsidRPr="00500B90" w:rsidRDefault="00500B90" w:rsidP="00500B90">
      <w:pPr>
        <w:numPr>
          <w:ilvl w:val="0"/>
          <w:numId w:val="8"/>
        </w:numPr>
        <w:spacing w:after="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Direct Local Currency Settlement:</w:t>
      </w:r>
      <w:r w:rsidRPr="00500B90">
        <w:rPr>
          <w:rFonts w:eastAsia="Times New Roman" w:cs="Times New Roman"/>
          <w:kern w:val="0"/>
          <w:sz w:val="22"/>
          <w:szCs w:val="22"/>
          <w14:ligatures w14:val="none"/>
        </w:rPr>
        <w:t xml:space="preserve"> FAB was one of the first banks to facilitate </w:t>
      </w:r>
      <w:r w:rsidRPr="00500B90">
        <w:rPr>
          <w:rFonts w:eastAsia="Times New Roman" w:cs="Times New Roman"/>
          <w:b/>
          <w:bCs/>
          <w:kern w:val="0"/>
          <w:sz w:val="22"/>
          <w:szCs w:val="22"/>
          <w14:ligatures w14:val="none"/>
        </w:rPr>
        <w:t>INR (Indian Rupee) - AED (Dirham)</w:t>
      </w:r>
      <w:r w:rsidRPr="00500B90">
        <w:rPr>
          <w:rFonts w:eastAsia="Times New Roman" w:cs="Times New Roman"/>
          <w:kern w:val="0"/>
          <w:sz w:val="22"/>
          <w:szCs w:val="22"/>
          <w14:ligatures w14:val="none"/>
        </w:rPr>
        <w:t xml:space="preserve"> direct settlements. This is a direct solution to the "Hard Currency Scarcity" problem your GSXC "secret sauce" addresses.</w:t>
      </w:r>
    </w:p>
    <w:p w14:paraId="6E0BB9B1" w14:textId="77777777" w:rsidR="00500B90" w:rsidRPr="00500B90" w:rsidRDefault="00500B90" w:rsidP="00500B90">
      <w:pPr>
        <w:numPr>
          <w:ilvl w:val="0"/>
          <w:numId w:val="8"/>
        </w:numPr>
        <w:spacing w:after="12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vLEI and Digital Docs:</w:t>
      </w:r>
      <w:r w:rsidRPr="00500B90">
        <w:rPr>
          <w:rFonts w:eastAsia="Times New Roman" w:cs="Times New Roman"/>
          <w:kern w:val="0"/>
          <w:sz w:val="22"/>
          <w:szCs w:val="22"/>
          <w14:ligatures w14:val="none"/>
        </w:rPr>
        <w:t xml:space="preserve"> FAB is a leading advocate for the </w:t>
      </w:r>
      <w:r w:rsidRPr="00500B90">
        <w:rPr>
          <w:rFonts w:eastAsia="Times New Roman" w:cs="Times New Roman"/>
          <w:b/>
          <w:bCs/>
          <w:kern w:val="0"/>
          <w:sz w:val="22"/>
          <w:szCs w:val="22"/>
          <w14:ligatures w14:val="none"/>
        </w:rPr>
        <w:t>Verifiable Legal Entity Identifier (vLEI)</w:t>
      </w:r>
      <w:r w:rsidRPr="00500B90">
        <w:rPr>
          <w:rFonts w:eastAsia="Times New Roman" w:cs="Times New Roman"/>
          <w:kern w:val="0"/>
          <w:sz w:val="22"/>
          <w:szCs w:val="22"/>
          <w14:ligatures w14:val="none"/>
        </w:rPr>
        <w:t xml:space="preserve"> in the Indian corridor, ensuring that Indian SMEs can be onboarded into the UAE’s digital trade ecosystem with lower compliance friction.</w:t>
      </w:r>
    </w:p>
    <w:p w14:paraId="52DFB582" w14:textId="77777777" w:rsidR="00500B90" w:rsidRPr="00500B90" w:rsidRDefault="00500B90" w:rsidP="00500B90">
      <w:pPr>
        <w:spacing w:after="120" w:line="240" w:lineRule="auto"/>
        <w:outlineLvl w:val="2"/>
        <w:rPr>
          <w:rFonts w:eastAsia="Times New Roman" w:cs="Times New Roman"/>
          <w:b/>
          <w:bCs/>
          <w:kern w:val="0"/>
          <w:sz w:val="22"/>
          <w:szCs w:val="22"/>
          <w14:ligatures w14:val="none"/>
        </w:rPr>
      </w:pPr>
      <w:r w:rsidRPr="00500B90">
        <w:rPr>
          <w:rFonts w:eastAsia="Times New Roman" w:cs="Times New Roman"/>
          <w:b/>
          <w:bCs/>
          <w:kern w:val="0"/>
          <w:sz w:val="22"/>
          <w:szCs w:val="22"/>
          <w14:ligatures w14:val="none"/>
        </w:rPr>
        <w:t>3. Project mBridge (Wholesale LMIC Settlement)</w:t>
      </w:r>
    </w:p>
    <w:p w14:paraId="6B431FF4" w14:textId="77777777" w:rsidR="00500B90" w:rsidRPr="00500B90" w:rsidRDefault="00500B90" w:rsidP="00500B90">
      <w:pPr>
        <w:spacing w:after="120" w:line="240" w:lineRule="auto"/>
        <w:rPr>
          <w:rFonts w:eastAsia="Times New Roman" w:cs="Times New Roman"/>
          <w:kern w:val="0"/>
          <w:sz w:val="22"/>
          <w:szCs w:val="22"/>
          <w14:ligatures w14:val="none"/>
        </w:rPr>
      </w:pPr>
      <w:r w:rsidRPr="00500B90">
        <w:rPr>
          <w:rFonts w:eastAsia="Times New Roman" w:cs="Times New Roman"/>
          <w:kern w:val="0"/>
          <w:sz w:val="22"/>
          <w:szCs w:val="22"/>
          <w14:ligatures w14:val="none"/>
        </w:rPr>
        <w:t xml:space="preserve">FAB is a foundational commercial participant in </w:t>
      </w:r>
      <w:r w:rsidRPr="00500B90">
        <w:rPr>
          <w:rFonts w:eastAsia="Times New Roman" w:cs="Times New Roman"/>
          <w:b/>
          <w:bCs/>
          <w:kern w:val="0"/>
          <w:sz w:val="22"/>
          <w:szCs w:val="22"/>
          <w14:ligatures w14:val="none"/>
        </w:rPr>
        <w:t>Project mBridge</w:t>
      </w:r>
      <w:r w:rsidRPr="00500B90">
        <w:rPr>
          <w:rFonts w:eastAsia="Times New Roman" w:cs="Times New Roman"/>
          <w:kern w:val="0"/>
          <w:sz w:val="22"/>
          <w:szCs w:val="22"/>
          <w14:ligatures w14:val="none"/>
        </w:rPr>
        <w:t xml:space="preserve"> (the multi-CBDC platform connecting the UAE, China, Hong Kong, Thailand, and Saudi Arabia).</w:t>
      </w:r>
    </w:p>
    <w:p w14:paraId="092DCAC8" w14:textId="77777777" w:rsidR="00500B90" w:rsidRPr="00500B90" w:rsidRDefault="00500B90" w:rsidP="00500B90">
      <w:pPr>
        <w:numPr>
          <w:ilvl w:val="0"/>
          <w:numId w:val="9"/>
        </w:numPr>
        <w:spacing w:after="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Involvement:</w:t>
      </w:r>
      <w:r w:rsidRPr="00500B90">
        <w:rPr>
          <w:rFonts w:eastAsia="Times New Roman" w:cs="Times New Roman"/>
          <w:kern w:val="0"/>
          <w:sz w:val="22"/>
          <w:szCs w:val="22"/>
          <w14:ligatures w14:val="none"/>
        </w:rPr>
        <w:t xml:space="preserve"> FAB uses mBridge to settle "Wholesale" trade instantly.</w:t>
      </w:r>
    </w:p>
    <w:p w14:paraId="3CC906F0" w14:textId="77777777" w:rsidR="00500B90" w:rsidRPr="00500B90" w:rsidRDefault="00500B90" w:rsidP="00500B90">
      <w:pPr>
        <w:numPr>
          <w:ilvl w:val="0"/>
          <w:numId w:val="9"/>
        </w:numPr>
        <w:spacing w:after="12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LMIC Impact:</w:t>
      </w:r>
      <w:r w:rsidRPr="00500B90">
        <w:rPr>
          <w:rFonts w:eastAsia="Times New Roman" w:cs="Times New Roman"/>
          <w:kern w:val="0"/>
          <w:sz w:val="22"/>
          <w:szCs w:val="22"/>
          <w14:ligatures w14:val="none"/>
        </w:rPr>
        <w:t xml:space="preserve"> This allows FAB to provide </w:t>
      </w:r>
      <w:r w:rsidRPr="00500B90">
        <w:rPr>
          <w:rFonts w:eastAsia="Times New Roman" w:cs="Times New Roman"/>
          <w:b/>
          <w:bCs/>
          <w:kern w:val="0"/>
          <w:sz w:val="22"/>
          <w:szCs w:val="22"/>
          <w14:ligatures w14:val="none"/>
        </w:rPr>
        <w:t>Central Bank-backed liquidity</w:t>
      </w:r>
      <w:r w:rsidRPr="00500B90">
        <w:rPr>
          <w:rFonts w:eastAsia="Times New Roman" w:cs="Times New Roman"/>
          <w:kern w:val="0"/>
          <w:sz w:val="22"/>
          <w:szCs w:val="22"/>
          <w14:ligatures w14:val="none"/>
        </w:rPr>
        <w:t xml:space="preserve"> to traders in Thailand and China without using the US dollar as an intermediary. For GSXC, this means FAB can act as the "Settlement Rails" to off-ramp your stablecoins into local Asian currencies.</w:t>
      </w:r>
    </w:p>
    <w:p w14:paraId="071C0C71" w14:textId="77777777" w:rsidR="00500B90" w:rsidRPr="00500B90" w:rsidRDefault="00500B90" w:rsidP="00500B90">
      <w:pPr>
        <w:spacing w:after="120" w:line="240" w:lineRule="auto"/>
        <w:outlineLvl w:val="2"/>
        <w:rPr>
          <w:rFonts w:eastAsia="Times New Roman" w:cs="Times New Roman"/>
          <w:b/>
          <w:bCs/>
          <w:kern w:val="0"/>
          <w:sz w:val="22"/>
          <w:szCs w:val="22"/>
          <w14:ligatures w14:val="none"/>
        </w:rPr>
      </w:pPr>
      <w:r w:rsidRPr="00500B90">
        <w:rPr>
          <w:rFonts w:eastAsia="Times New Roman" w:cs="Times New Roman"/>
          <w:b/>
          <w:bCs/>
          <w:kern w:val="0"/>
          <w:sz w:val="22"/>
          <w:szCs w:val="22"/>
          <w14:ligatures w14:val="none"/>
        </w:rPr>
        <w:t>4. Tradetech &amp; Blockchain Strategic Investments</w:t>
      </w:r>
    </w:p>
    <w:p w14:paraId="5A160A10" w14:textId="77777777" w:rsidR="00500B90" w:rsidRPr="00500B90" w:rsidRDefault="00500B90" w:rsidP="00500B90">
      <w:pPr>
        <w:spacing w:after="120" w:line="240" w:lineRule="auto"/>
        <w:rPr>
          <w:rFonts w:eastAsia="Times New Roman" w:cs="Times New Roman"/>
          <w:kern w:val="0"/>
          <w:sz w:val="22"/>
          <w:szCs w:val="22"/>
          <w14:ligatures w14:val="none"/>
        </w:rPr>
      </w:pPr>
      <w:r w:rsidRPr="00500B90">
        <w:rPr>
          <w:rFonts w:eastAsia="Times New Roman" w:cs="Times New Roman"/>
          <w:kern w:val="0"/>
          <w:sz w:val="22"/>
          <w:szCs w:val="22"/>
          <w14:ligatures w14:val="none"/>
        </w:rPr>
        <w:t>FAB does not just "use" technology; they fund the infrastructure of LMIC trade:</w:t>
      </w:r>
    </w:p>
    <w:p w14:paraId="1A8CFECD" w14:textId="77777777" w:rsidR="00500B90" w:rsidRPr="00500B90" w:rsidRDefault="00500B90" w:rsidP="00500B90">
      <w:pPr>
        <w:numPr>
          <w:ilvl w:val="0"/>
          <w:numId w:val="10"/>
        </w:numPr>
        <w:spacing w:after="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 xml:space="preserve">Onyx and </w:t>
      </w:r>
      <w:proofErr w:type="spellStart"/>
      <w:r w:rsidRPr="00500B90">
        <w:rPr>
          <w:rFonts w:eastAsia="Times New Roman" w:cs="Times New Roman"/>
          <w:b/>
          <w:bCs/>
          <w:kern w:val="0"/>
          <w:sz w:val="22"/>
          <w:szCs w:val="22"/>
          <w14:ligatures w14:val="none"/>
        </w:rPr>
        <w:t>Metaco</w:t>
      </w:r>
      <w:proofErr w:type="spellEnd"/>
      <w:r w:rsidRPr="00500B90">
        <w:rPr>
          <w:rFonts w:eastAsia="Times New Roman" w:cs="Times New Roman"/>
          <w:b/>
          <w:bCs/>
          <w:kern w:val="0"/>
          <w:sz w:val="22"/>
          <w:szCs w:val="22"/>
          <w14:ligatures w14:val="none"/>
        </w:rPr>
        <w:t>:</w:t>
      </w:r>
      <w:r w:rsidRPr="00500B90">
        <w:rPr>
          <w:rFonts w:eastAsia="Times New Roman" w:cs="Times New Roman"/>
          <w:kern w:val="0"/>
          <w:sz w:val="22"/>
          <w:szCs w:val="22"/>
          <w14:ligatures w14:val="none"/>
        </w:rPr>
        <w:t xml:space="preserve"> FAB utilizes </w:t>
      </w:r>
      <w:r w:rsidRPr="00500B90">
        <w:rPr>
          <w:rFonts w:eastAsia="Times New Roman" w:cs="Times New Roman"/>
          <w:b/>
          <w:bCs/>
          <w:kern w:val="0"/>
          <w:sz w:val="22"/>
          <w:szCs w:val="22"/>
          <w14:ligatures w14:val="none"/>
        </w:rPr>
        <w:t>J.P. Morgan’s Onyx</w:t>
      </w:r>
      <w:r w:rsidRPr="00500B90">
        <w:rPr>
          <w:rFonts w:eastAsia="Times New Roman" w:cs="Times New Roman"/>
          <w:kern w:val="0"/>
          <w:sz w:val="22"/>
          <w:szCs w:val="22"/>
          <w14:ligatures w14:val="none"/>
        </w:rPr>
        <w:t xml:space="preserve"> for tokenized deposits and </w:t>
      </w:r>
      <w:r w:rsidRPr="00500B90">
        <w:rPr>
          <w:rFonts w:eastAsia="Times New Roman" w:cs="Times New Roman"/>
          <w:b/>
          <w:bCs/>
          <w:kern w:val="0"/>
          <w:sz w:val="22"/>
          <w:szCs w:val="22"/>
          <w14:ligatures w14:val="none"/>
        </w:rPr>
        <w:t>Ripple/</w:t>
      </w:r>
      <w:proofErr w:type="spellStart"/>
      <w:r w:rsidRPr="00500B90">
        <w:rPr>
          <w:rFonts w:eastAsia="Times New Roman" w:cs="Times New Roman"/>
          <w:b/>
          <w:bCs/>
          <w:kern w:val="0"/>
          <w:sz w:val="22"/>
          <w:szCs w:val="22"/>
          <w14:ligatures w14:val="none"/>
        </w:rPr>
        <w:t>Metaco</w:t>
      </w:r>
      <w:proofErr w:type="spellEnd"/>
      <w:r w:rsidRPr="00500B90">
        <w:rPr>
          <w:rFonts w:eastAsia="Times New Roman" w:cs="Times New Roman"/>
          <w:kern w:val="0"/>
          <w:sz w:val="22"/>
          <w:szCs w:val="22"/>
          <w14:ligatures w14:val="none"/>
        </w:rPr>
        <w:t xml:space="preserve"> for digital asset custody.</w:t>
      </w:r>
    </w:p>
    <w:p w14:paraId="2E17C309" w14:textId="77777777" w:rsidR="00500B90" w:rsidRPr="00500B90" w:rsidRDefault="00500B90" w:rsidP="00500B90">
      <w:pPr>
        <w:numPr>
          <w:ilvl w:val="0"/>
          <w:numId w:val="10"/>
        </w:numPr>
        <w:spacing w:after="12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Digital Factoring:</w:t>
      </w:r>
      <w:r w:rsidRPr="00500B90">
        <w:rPr>
          <w:rFonts w:eastAsia="Times New Roman" w:cs="Times New Roman"/>
          <w:kern w:val="0"/>
          <w:sz w:val="22"/>
          <w:szCs w:val="22"/>
          <w14:ligatures w14:val="none"/>
        </w:rPr>
        <w:t xml:space="preserve"> FAB is active in the </w:t>
      </w:r>
      <w:r w:rsidRPr="00500B90">
        <w:rPr>
          <w:rFonts w:eastAsia="Times New Roman" w:cs="Times New Roman"/>
          <w:b/>
          <w:bCs/>
          <w:kern w:val="0"/>
          <w:sz w:val="22"/>
          <w:szCs w:val="22"/>
          <w14:ligatures w14:val="none"/>
        </w:rPr>
        <w:t>ADGM RegLab</w:t>
      </w:r>
      <w:r w:rsidRPr="00500B90">
        <w:rPr>
          <w:rFonts w:eastAsia="Times New Roman" w:cs="Times New Roman"/>
          <w:kern w:val="0"/>
          <w:sz w:val="22"/>
          <w:szCs w:val="22"/>
          <w14:ligatures w14:val="none"/>
        </w:rPr>
        <w:t xml:space="preserve"> ecosystem, partnering with </w:t>
      </w:r>
      <w:proofErr w:type="spellStart"/>
      <w:r w:rsidRPr="00500B90">
        <w:rPr>
          <w:rFonts w:eastAsia="Times New Roman" w:cs="Times New Roman"/>
          <w:kern w:val="0"/>
          <w:sz w:val="22"/>
          <w:szCs w:val="22"/>
          <w14:ligatures w14:val="none"/>
        </w:rPr>
        <w:t>fintechs</w:t>
      </w:r>
      <w:proofErr w:type="spellEnd"/>
      <w:r w:rsidRPr="00500B90">
        <w:rPr>
          <w:rFonts w:eastAsia="Times New Roman" w:cs="Times New Roman"/>
          <w:kern w:val="0"/>
          <w:sz w:val="22"/>
          <w:szCs w:val="22"/>
          <w14:ligatures w14:val="none"/>
        </w:rPr>
        <w:t xml:space="preserve"> to provide "Digital </w:t>
      </w:r>
      <w:proofErr w:type="gramStart"/>
      <w:r w:rsidRPr="00500B90">
        <w:rPr>
          <w:rFonts w:eastAsia="Times New Roman" w:cs="Times New Roman"/>
          <w:kern w:val="0"/>
          <w:sz w:val="22"/>
          <w:szCs w:val="22"/>
          <w14:ligatures w14:val="none"/>
        </w:rPr>
        <w:t>Factoring"—</w:t>
      </w:r>
      <w:proofErr w:type="gramEnd"/>
      <w:r w:rsidRPr="00500B90">
        <w:rPr>
          <w:rFonts w:eastAsia="Times New Roman" w:cs="Times New Roman"/>
          <w:kern w:val="0"/>
          <w:sz w:val="22"/>
          <w:szCs w:val="22"/>
          <w14:ligatures w14:val="none"/>
        </w:rPr>
        <w:t>buying the invoices of LMIC exporters once they are tokenized.</w:t>
      </w:r>
    </w:p>
    <w:p w14:paraId="3ED2FABD" w14:textId="77777777" w:rsidR="00500B90" w:rsidRPr="00500B90" w:rsidRDefault="00500B90" w:rsidP="00500B90">
      <w:pPr>
        <w:spacing w:after="120" w:line="240" w:lineRule="auto"/>
        <w:outlineLvl w:val="2"/>
        <w:rPr>
          <w:rFonts w:eastAsia="Times New Roman" w:cs="Times New Roman"/>
          <w:b/>
          <w:bCs/>
          <w:kern w:val="0"/>
          <w:sz w:val="22"/>
          <w:szCs w:val="22"/>
          <w14:ligatures w14:val="none"/>
        </w:rPr>
      </w:pPr>
      <w:r w:rsidRPr="00500B90">
        <w:rPr>
          <w:rFonts w:eastAsia="Times New Roman" w:cs="Times New Roman"/>
          <w:b/>
          <w:bCs/>
          <w:kern w:val="0"/>
          <w:sz w:val="22"/>
          <w:szCs w:val="22"/>
          <w14:ligatures w14:val="none"/>
        </w:rPr>
        <w:t>Summary: FAB’s Strategic Utility to GSXC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6"/>
        <w:gridCol w:w="2240"/>
        <w:gridCol w:w="5704"/>
      </w:tblGrid>
      <w:tr w:rsidR="00500B90" w:rsidRPr="00500B90" w14:paraId="2272FC32" w14:textId="77777777">
        <w:trPr>
          <w:tblCellSpacing w:w="15" w:type="dxa"/>
        </w:trPr>
        <w:tc>
          <w:tcPr>
            <w:tcW w:w="0" w:type="auto"/>
            <w:vAlign w:val="center"/>
            <w:hideMark/>
          </w:tcPr>
          <w:p w14:paraId="3EE9FB94" w14:textId="77777777" w:rsidR="00500B90" w:rsidRPr="00500B90" w:rsidRDefault="00500B90" w:rsidP="00500B90">
            <w:pPr>
              <w:spacing w:after="120" w:line="240" w:lineRule="auto"/>
              <w:rPr>
                <w:rFonts w:eastAsia="Times New Roman" w:cs="Times New Roman"/>
                <w:b/>
                <w:bCs/>
                <w:kern w:val="0"/>
                <w:sz w:val="22"/>
                <w:szCs w:val="22"/>
                <w14:ligatures w14:val="none"/>
              </w:rPr>
            </w:pPr>
            <w:r w:rsidRPr="00500B90">
              <w:rPr>
                <w:rFonts w:eastAsia="Times New Roman" w:cs="Times New Roman"/>
                <w:b/>
                <w:bCs/>
                <w:kern w:val="0"/>
                <w:sz w:val="22"/>
                <w:szCs w:val="22"/>
                <w14:ligatures w14:val="none"/>
              </w:rPr>
              <w:t>LMIC Sector</w:t>
            </w:r>
          </w:p>
        </w:tc>
        <w:tc>
          <w:tcPr>
            <w:tcW w:w="0" w:type="auto"/>
            <w:vAlign w:val="center"/>
            <w:hideMark/>
          </w:tcPr>
          <w:p w14:paraId="31652B37" w14:textId="77777777" w:rsidR="00500B90" w:rsidRPr="00500B90" w:rsidRDefault="00500B90" w:rsidP="00500B90">
            <w:pPr>
              <w:spacing w:after="120" w:line="240" w:lineRule="auto"/>
              <w:jc w:val="center"/>
              <w:rPr>
                <w:rFonts w:eastAsia="Times New Roman" w:cs="Times New Roman"/>
                <w:b/>
                <w:bCs/>
                <w:kern w:val="0"/>
                <w:sz w:val="22"/>
                <w:szCs w:val="22"/>
                <w14:ligatures w14:val="none"/>
              </w:rPr>
            </w:pPr>
            <w:r w:rsidRPr="00500B90">
              <w:rPr>
                <w:rFonts w:eastAsia="Times New Roman" w:cs="Times New Roman"/>
                <w:b/>
                <w:bCs/>
                <w:kern w:val="0"/>
                <w:sz w:val="22"/>
                <w:szCs w:val="22"/>
                <w14:ligatures w14:val="none"/>
              </w:rPr>
              <w:t>FAB’s Role</w:t>
            </w:r>
          </w:p>
        </w:tc>
        <w:tc>
          <w:tcPr>
            <w:tcW w:w="0" w:type="auto"/>
            <w:vAlign w:val="center"/>
            <w:hideMark/>
          </w:tcPr>
          <w:p w14:paraId="1137BDA4" w14:textId="77777777" w:rsidR="00500B90" w:rsidRPr="00500B90" w:rsidRDefault="00500B90" w:rsidP="00500B90">
            <w:pPr>
              <w:spacing w:after="120" w:line="240" w:lineRule="auto"/>
              <w:jc w:val="center"/>
              <w:rPr>
                <w:rFonts w:eastAsia="Times New Roman" w:cs="Times New Roman"/>
                <w:b/>
                <w:bCs/>
                <w:kern w:val="0"/>
                <w:sz w:val="22"/>
                <w:szCs w:val="22"/>
                <w14:ligatures w14:val="none"/>
              </w:rPr>
            </w:pPr>
            <w:r w:rsidRPr="00500B90">
              <w:rPr>
                <w:rFonts w:eastAsia="Times New Roman" w:cs="Times New Roman"/>
                <w:b/>
                <w:bCs/>
                <w:kern w:val="0"/>
                <w:sz w:val="22"/>
                <w:szCs w:val="22"/>
                <w14:ligatures w14:val="none"/>
              </w:rPr>
              <w:t>Relevance to GSCX "Secret Sauce"</w:t>
            </w:r>
          </w:p>
        </w:tc>
      </w:tr>
      <w:tr w:rsidR="00500B90" w:rsidRPr="00500B90" w14:paraId="094835E9" w14:textId="77777777">
        <w:trPr>
          <w:tblCellSpacing w:w="15" w:type="dxa"/>
        </w:trPr>
        <w:tc>
          <w:tcPr>
            <w:tcW w:w="0" w:type="auto"/>
            <w:vAlign w:val="center"/>
            <w:hideMark/>
          </w:tcPr>
          <w:p w14:paraId="3041C5CF" w14:textId="77777777" w:rsidR="00500B90" w:rsidRPr="00500B90" w:rsidRDefault="00500B90" w:rsidP="00500B90">
            <w:pPr>
              <w:spacing w:after="12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Egypt &amp; MENA</w:t>
            </w:r>
          </w:p>
        </w:tc>
        <w:tc>
          <w:tcPr>
            <w:tcW w:w="0" w:type="auto"/>
            <w:vAlign w:val="center"/>
            <w:hideMark/>
          </w:tcPr>
          <w:p w14:paraId="664E6027" w14:textId="77777777" w:rsidR="00500B90" w:rsidRPr="00500B90" w:rsidRDefault="00500B90" w:rsidP="00500B90">
            <w:pPr>
              <w:spacing w:after="120" w:line="240" w:lineRule="auto"/>
              <w:jc w:val="center"/>
              <w:rPr>
                <w:rFonts w:eastAsia="Times New Roman" w:cs="Times New Roman"/>
                <w:kern w:val="0"/>
                <w:sz w:val="22"/>
                <w:szCs w:val="22"/>
                <w14:ligatures w14:val="none"/>
              </w:rPr>
            </w:pPr>
            <w:r w:rsidRPr="00500B90">
              <w:rPr>
                <w:rFonts w:eastAsia="Times New Roman" w:cs="Times New Roman"/>
                <w:kern w:val="0"/>
                <w:sz w:val="22"/>
                <w:szCs w:val="22"/>
                <w14:ligatures w14:val="none"/>
              </w:rPr>
              <w:t>Domestic Banking Power</w:t>
            </w:r>
          </w:p>
        </w:tc>
        <w:tc>
          <w:tcPr>
            <w:tcW w:w="0" w:type="auto"/>
            <w:vAlign w:val="center"/>
            <w:hideMark/>
          </w:tcPr>
          <w:p w14:paraId="67CB9CB8" w14:textId="77777777" w:rsidR="00500B90" w:rsidRPr="00500B90" w:rsidRDefault="00500B90" w:rsidP="00500B90">
            <w:pPr>
              <w:spacing w:after="120" w:line="240" w:lineRule="auto"/>
              <w:jc w:val="center"/>
              <w:rPr>
                <w:rFonts w:eastAsia="Times New Roman" w:cs="Times New Roman"/>
                <w:kern w:val="0"/>
                <w:sz w:val="22"/>
                <w:szCs w:val="22"/>
                <w14:ligatures w14:val="none"/>
              </w:rPr>
            </w:pPr>
            <w:r w:rsidRPr="00500B90">
              <w:rPr>
                <w:rFonts w:eastAsia="Times New Roman" w:cs="Times New Roman"/>
                <w:kern w:val="0"/>
                <w:sz w:val="22"/>
                <w:szCs w:val="22"/>
                <w14:ligatures w14:val="none"/>
              </w:rPr>
              <w:t>Facilitates "Netting" in the MENA's most currency-strapped market.</w:t>
            </w:r>
          </w:p>
        </w:tc>
      </w:tr>
      <w:tr w:rsidR="00500B90" w:rsidRPr="00500B90" w14:paraId="2486F87B" w14:textId="77777777">
        <w:trPr>
          <w:tblCellSpacing w:w="15" w:type="dxa"/>
        </w:trPr>
        <w:tc>
          <w:tcPr>
            <w:tcW w:w="0" w:type="auto"/>
            <w:vAlign w:val="center"/>
            <w:hideMark/>
          </w:tcPr>
          <w:p w14:paraId="3248D0CF" w14:textId="77777777" w:rsidR="00500B90" w:rsidRPr="00500B90" w:rsidRDefault="00500B90" w:rsidP="00500B90">
            <w:pPr>
              <w:spacing w:after="12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lastRenderedPageBreak/>
              <w:t>South Asia</w:t>
            </w:r>
          </w:p>
        </w:tc>
        <w:tc>
          <w:tcPr>
            <w:tcW w:w="0" w:type="auto"/>
            <w:vAlign w:val="center"/>
            <w:hideMark/>
          </w:tcPr>
          <w:p w14:paraId="2E7F72A3" w14:textId="77777777" w:rsidR="00500B90" w:rsidRPr="00500B90" w:rsidRDefault="00500B90" w:rsidP="00500B90">
            <w:pPr>
              <w:spacing w:after="120" w:line="240" w:lineRule="auto"/>
              <w:jc w:val="center"/>
              <w:rPr>
                <w:rFonts w:eastAsia="Times New Roman" w:cs="Times New Roman"/>
                <w:kern w:val="0"/>
                <w:sz w:val="22"/>
                <w:szCs w:val="22"/>
                <w14:ligatures w14:val="none"/>
              </w:rPr>
            </w:pPr>
            <w:r w:rsidRPr="00500B90">
              <w:rPr>
                <w:rFonts w:eastAsia="Times New Roman" w:cs="Times New Roman"/>
                <w:kern w:val="0"/>
                <w:sz w:val="22"/>
                <w:szCs w:val="22"/>
                <w14:ligatures w14:val="none"/>
              </w:rPr>
              <w:t>INR-AED Settlement</w:t>
            </w:r>
          </w:p>
        </w:tc>
        <w:tc>
          <w:tcPr>
            <w:tcW w:w="0" w:type="auto"/>
            <w:vAlign w:val="center"/>
            <w:hideMark/>
          </w:tcPr>
          <w:p w14:paraId="6A5D9E18" w14:textId="77777777" w:rsidR="00500B90" w:rsidRPr="00500B90" w:rsidRDefault="00500B90" w:rsidP="00500B90">
            <w:pPr>
              <w:spacing w:after="120" w:line="240" w:lineRule="auto"/>
              <w:jc w:val="center"/>
              <w:rPr>
                <w:rFonts w:eastAsia="Times New Roman" w:cs="Times New Roman"/>
                <w:kern w:val="0"/>
                <w:sz w:val="22"/>
                <w:szCs w:val="22"/>
                <w14:ligatures w14:val="none"/>
              </w:rPr>
            </w:pPr>
            <w:r w:rsidRPr="00500B90">
              <w:rPr>
                <w:rFonts w:eastAsia="Times New Roman" w:cs="Times New Roman"/>
                <w:kern w:val="0"/>
                <w:sz w:val="22"/>
                <w:szCs w:val="22"/>
                <w14:ligatures w14:val="none"/>
              </w:rPr>
              <w:t>Removes the need for LMIC exporters to find "Hard" USD.</w:t>
            </w:r>
          </w:p>
        </w:tc>
      </w:tr>
      <w:tr w:rsidR="00500B90" w:rsidRPr="00500B90" w14:paraId="7C9307C8" w14:textId="77777777">
        <w:trPr>
          <w:tblCellSpacing w:w="15" w:type="dxa"/>
        </w:trPr>
        <w:tc>
          <w:tcPr>
            <w:tcW w:w="0" w:type="auto"/>
            <w:vAlign w:val="center"/>
            <w:hideMark/>
          </w:tcPr>
          <w:p w14:paraId="68F74087" w14:textId="77777777" w:rsidR="00500B90" w:rsidRPr="00500B90" w:rsidRDefault="00500B90" w:rsidP="00500B90">
            <w:pPr>
              <w:spacing w:after="12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East Asia</w:t>
            </w:r>
          </w:p>
        </w:tc>
        <w:tc>
          <w:tcPr>
            <w:tcW w:w="0" w:type="auto"/>
            <w:vAlign w:val="center"/>
            <w:hideMark/>
          </w:tcPr>
          <w:p w14:paraId="70735D92" w14:textId="77777777" w:rsidR="00500B90" w:rsidRPr="00500B90" w:rsidRDefault="00500B90" w:rsidP="00500B90">
            <w:pPr>
              <w:spacing w:after="120" w:line="240" w:lineRule="auto"/>
              <w:jc w:val="center"/>
              <w:rPr>
                <w:rFonts w:eastAsia="Times New Roman" w:cs="Times New Roman"/>
                <w:kern w:val="0"/>
                <w:sz w:val="22"/>
                <w:szCs w:val="22"/>
                <w14:ligatures w14:val="none"/>
              </w:rPr>
            </w:pPr>
            <w:r w:rsidRPr="00500B90">
              <w:rPr>
                <w:rFonts w:eastAsia="Times New Roman" w:cs="Times New Roman"/>
                <w:kern w:val="0"/>
                <w:sz w:val="22"/>
                <w:szCs w:val="22"/>
                <w14:ligatures w14:val="none"/>
              </w:rPr>
              <w:t>mBridge Participant</w:t>
            </w:r>
          </w:p>
        </w:tc>
        <w:tc>
          <w:tcPr>
            <w:tcW w:w="0" w:type="auto"/>
            <w:vAlign w:val="center"/>
            <w:hideMark/>
          </w:tcPr>
          <w:p w14:paraId="14D9A4C6" w14:textId="77777777" w:rsidR="00500B90" w:rsidRPr="00500B90" w:rsidRDefault="00500B90" w:rsidP="00500B90">
            <w:pPr>
              <w:spacing w:after="120" w:line="240" w:lineRule="auto"/>
              <w:jc w:val="center"/>
              <w:rPr>
                <w:rFonts w:eastAsia="Times New Roman" w:cs="Times New Roman"/>
                <w:kern w:val="0"/>
                <w:sz w:val="22"/>
                <w:szCs w:val="22"/>
                <w14:ligatures w14:val="none"/>
              </w:rPr>
            </w:pPr>
            <w:r w:rsidRPr="00500B90">
              <w:rPr>
                <w:rFonts w:eastAsia="Times New Roman" w:cs="Times New Roman"/>
                <w:kern w:val="0"/>
                <w:sz w:val="22"/>
                <w:szCs w:val="22"/>
                <w14:ligatures w14:val="none"/>
              </w:rPr>
              <w:t>High-speed, low-cost "Wholesale" CBDC bridge.</w:t>
            </w:r>
          </w:p>
        </w:tc>
      </w:tr>
      <w:tr w:rsidR="00500B90" w:rsidRPr="00500B90" w14:paraId="3CAD86E7" w14:textId="77777777">
        <w:trPr>
          <w:tblCellSpacing w:w="15" w:type="dxa"/>
        </w:trPr>
        <w:tc>
          <w:tcPr>
            <w:tcW w:w="0" w:type="auto"/>
            <w:vAlign w:val="center"/>
            <w:hideMark/>
          </w:tcPr>
          <w:p w14:paraId="2F9E8B47" w14:textId="77777777" w:rsidR="00500B90" w:rsidRPr="00500B90" w:rsidRDefault="00500B90" w:rsidP="00500B90">
            <w:pPr>
              <w:spacing w:after="12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Tradetech</w:t>
            </w:r>
          </w:p>
        </w:tc>
        <w:tc>
          <w:tcPr>
            <w:tcW w:w="0" w:type="auto"/>
            <w:vAlign w:val="center"/>
            <w:hideMark/>
          </w:tcPr>
          <w:p w14:paraId="7051F3F0" w14:textId="77777777" w:rsidR="00500B90" w:rsidRPr="00500B90" w:rsidRDefault="00500B90" w:rsidP="00500B90">
            <w:pPr>
              <w:spacing w:after="120" w:line="240" w:lineRule="auto"/>
              <w:jc w:val="center"/>
              <w:rPr>
                <w:rFonts w:eastAsia="Times New Roman" w:cs="Times New Roman"/>
                <w:kern w:val="0"/>
                <w:sz w:val="22"/>
                <w:szCs w:val="22"/>
                <w14:ligatures w14:val="none"/>
              </w:rPr>
            </w:pPr>
            <w:r w:rsidRPr="00500B90">
              <w:rPr>
                <w:rFonts w:eastAsia="Times New Roman" w:cs="Times New Roman"/>
                <w:kern w:val="0"/>
                <w:sz w:val="22"/>
                <w:szCs w:val="22"/>
                <w14:ligatures w14:val="none"/>
              </w:rPr>
              <w:t>Qualified Custodian</w:t>
            </w:r>
          </w:p>
        </w:tc>
        <w:tc>
          <w:tcPr>
            <w:tcW w:w="0" w:type="auto"/>
            <w:vAlign w:val="center"/>
            <w:hideMark/>
          </w:tcPr>
          <w:p w14:paraId="13083387" w14:textId="77777777" w:rsidR="00500B90" w:rsidRPr="00500B90" w:rsidRDefault="00500B90" w:rsidP="00500B90">
            <w:pPr>
              <w:spacing w:after="120" w:line="240" w:lineRule="auto"/>
              <w:jc w:val="center"/>
              <w:rPr>
                <w:rFonts w:eastAsia="Times New Roman" w:cs="Times New Roman"/>
                <w:kern w:val="0"/>
                <w:sz w:val="22"/>
                <w:szCs w:val="22"/>
                <w14:ligatures w14:val="none"/>
              </w:rPr>
            </w:pPr>
            <w:r w:rsidRPr="00500B90">
              <w:rPr>
                <w:rFonts w:eastAsia="Times New Roman" w:cs="Times New Roman"/>
                <w:kern w:val="0"/>
                <w:sz w:val="22"/>
                <w:szCs w:val="22"/>
                <w14:ligatures w14:val="none"/>
              </w:rPr>
              <w:t xml:space="preserve">Legal "Trust Anchor" for your </w:t>
            </w:r>
            <w:r w:rsidRPr="00500B90">
              <w:rPr>
                <w:rFonts w:eastAsia="Times New Roman" w:cs="Times New Roman"/>
                <w:b/>
                <w:bCs/>
                <w:kern w:val="0"/>
                <w:sz w:val="22"/>
                <w:szCs w:val="22"/>
                <w14:ligatures w14:val="none"/>
              </w:rPr>
              <w:t>IIGB Captive</w:t>
            </w:r>
            <w:r w:rsidRPr="00500B90">
              <w:rPr>
                <w:rFonts w:eastAsia="Times New Roman" w:cs="Times New Roman"/>
                <w:kern w:val="0"/>
                <w:sz w:val="22"/>
                <w:szCs w:val="22"/>
                <w14:ligatures w14:val="none"/>
              </w:rPr>
              <w:t xml:space="preserve"> reserves.</w:t>
            </w:r>
          </w:p>
        </w:tc>
      </w:tr>
    </w:tbl>
    <w:p w14:paraId="681D22FC" w14:textId="77777777" w:rsidR="00500B90" w:rsidRPr="00500B90" w:rsidRDefault="00500B90" w:rsidP="00500B90">
      <w:pPr>
        <w:spacing w:before="120" w:after="120" w:line="240" w:lineRule="auto"/>
        <w:outlineLvl w:val="2"/>
        <w:rPr>
          <w:rFonts w:eastAsia="Times New Roman" w:cs="Times New Roman"/>
          <w:b/>
          <w:bCs/>
          <w:kern w:val="0"/>
          <w14:ligatures w14:val="none"/>
        </w:rPr>
      </w:pPr>
      <w:r w:rsidRPr="00500B90">
        <w:rPr>
          <w:rFonts w:eastAsia="Times New Roman" w:cs="Times New Roman"/>
          <w:b/>
          <w:bCs/>
          <w:kern w:val="0"/>
          <w14:ligatures w14:val="none"/>
        </w:rPr>
        <w:t>Why FAB is the "Local Anchor":</w:t>
      </w:r>
    </w:p>
    <w:p w14:paraId="40D3F9EF" w14:textId="77777777" w:rsidR="00500B90" w:rsidRPr="00500B90" w:rsidRDefault="00500B90" w:rsidP="00500B90">
      <w:pPr>
        <w:spacing w:after="120" w:line="240" w:lineRule="auto"/>
        <w:rPr>
          <w:rFonts w:eastAsia="Times New Roman" w:cs="Times New Roman"/>
          <w:kern w:val="0"/>
          <w:sz w:val="22"/>
          <w:szCs w:val="22"/>
          <w14:ligatures w14:val="none"/>
        </w:rPr>
      </w:pPr>
      <w:r w:rsidRPr="00500B90">
        <w:rPr>
          <w:rFonts w:eastAsia="Times New Roman" w:cs="Times New Roman"/>
          <w:kern w:val="0"/>
          <w:sz w:val="22"/>
          <w:szCs w:val="22"/>
          <w14:ligatures w14:val="none"/>
        </w:rPr>
        <w:t xml:space="preserve">While Standard Chartered is your "Global Corridor" bank, </w:t>
      </w:r>
      <w:r w:rsidRPr="00500B90">
        <w:rPr>
          <w:rFonts w:eastAsia="Times New Roman" w:cs="Times New Roman"/>
          <w:b/>
          <w:bCs/>
          <w:kern w:val="0"/>
          <w:sz w:val="22"/>
          <w:szCs w:val="22"/>
          <w14:ligatures w14:val="none"/>
        </w:rPr>
        <w:t>FAB is the "Sovereign Anchor" of the UAE.</w:t>
      </w:r>
      <w:r w:rsidRPr="00500B90">
        <w:rPr>
          <w:rFonts w:eastAsia="Times New Roman" w:cs="Times New Roman"/>
          <w:kern w:val="0"/>
          <w:sz w:val="22"/>
          <w:szCs w:val="22"/>
          <w14:ligatures w14:val="none"/>
        </w:rPr>
        <w:t xml:space="preserve"> If your </w:t>
      </w:r>
      <w:r w:rsidRPr="00500B90">
        <w:rPr>
          <w:rFonts w:eastAsia="Times New Roman" w:cs="Times New Roman"/>
          <w:b/>
          <w:bCs/>
          <w:kern w:val="0"/>
          <w:sz w:val="22"/>
          <w:szCs w:val="22"/>
          <w14:ligatures w14:val="none"/>
        </w:rPr>
        <w:t>Class M Clearinghouse</w:t>
      </w:r>
      <w:r w:rsidRPr="00500B90">
        <w:rPr>
          <w:rFonts w:eastAsia="Times New Roman" w:cs="Times New Roman"/>
          <w:kern w:val="0"/>
          <w:sz w:val="22"/>
          <w:szCs w:val="22"/>
          <w14:ligatures w14:val="none"/>
        </w:rPr>
        <w:t xml:space="preserve"> intends to settle trade in Dirhams (AED) or move funds through the Abu Dhabi port system, FAB’s endorsement is the highest signal of legitimacy you can obtain in the Middle East.</w:t>
      </w:r>
    </w:p>
    <w:p w14:paraId="1F281E3E" w14:textId="77777777" w:rsidR="00500B90" w:rsidRPr="00500B90" w:rsidRDefault="00500B90" w:rsidP="00500B90">
      <w:pPr>
        <w:spacing w:after="120" w:line="240" w:lineRule="auto"/>
        <w:rPr>
          <w:rFonts w:eastAsia="Times New Roman" w:cs="Times New Roman"/>
          <w:kern w:val="0"/>
          <w14:ligatures w14:val="none"/>
        </w:rPr>
      </w:pPr>
      <w:r w:rsidRPr="00500B90">
        <w:rPr>
          <w:rFonts w:eastAsia="Times New Roman" w:cs="Times New Roman"/>
          <w:b/>
          <w:bCs/>
          <w:kern w:val="0"/>
          <w14:ligatures w14:val="none"/>
        </w:rPr>
        <w:t>Sources:</w:t>
      </w:r>
    </w:p>
    <w:p w14:paraId="611CF0E3" w14:textId="77777777" w:rsidR="00500B90" w:rsidRPr="00500B90" w:rsidRDefault="00500B90" w:rsidP="00500B90">
      <w:pPr>
        <w:numPr>
          <w:ilvl w:val="0"/>
          <w:numId w:val="11"/>
        </w:numPr>
        <w:spacing w:after="12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First Abu Dhabi Bank (FAB):</w:t>
      </w:r>
      <w:r w:rsidRPr="00500B90">
        <w:rPr>
          <w:rFonts w:eastAsia="Times New Roman" w:cs="Times New Roman"/>
          <w:kern w:val="0"/>
          <w:sz w:val="22"/>
          <w:szCs w:val="22"/>
          <w14:ligatures w14:val="none"/>
        </w:rPr>
        <w:t xml:space="preserve"> </w:t>
      </w:r>
      <w:r w:rsidRPr="00500B90">
        <w:rPr>
          <w:rFonts w:eastAsia="Times New Roman" w:cs="Times New Roman"/>
          <w:i/>
          <w:iCs/>
          <w:kern w:val="0"/>
          <w:sz w:val="22"/>
          <w:szCs w:val="22"/>
          <w14:ligatures w14:val="none"/>
        </w:rPr>
        <w:t>Integrated Annual Report 2025: Expanding International Footprint.</w:t>
      </w:r>
    </w:p>
    <w:p w14:paraId="2E520F6E" w14:textId="77777777" w:rsidR="00500B90" w:rsidRPr="00500B90" w:rsidRDefault="00500B90" w:rsidP="00500B90">
      <w:pPr>
        <w:numPr>
          <w:ilvl w:val="0"/>
          <w:numId w:val="11"/>
        </w:numPr>
        <w:spacing w:after="12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BIS Innovation Hub:</w:t>
      </w:r>
      <w:r w:rsidRPr="00500B90">
        <w:rPr>
          <w:rFonts w:eastAsia="Times New Roman" w:cs="Times New Roman"/>
          <w:kern w:val="0"/>
          <w:sz w:val="22"/>
          <w:szCs w:val="22"/>
          <w14:ligatures w14:val="none"/>
        </w:rPr>
        <w:t xml:space="preserve"> </w:t>
      </w:r>
      <w:r w:rsidRPr="00500B90">
        <w:rPr>
          <w:rFonts w:eastAsia="Times New Roman" w:cs="Times New Roman"/>
          <w:i/>
          <w:iCs/>
          <w:kern w:val="0"/>
          <w:sz w:val="22"/>
          <w:szCs w:val="22"/>
          <w14:ligatures w14:val="none"/>
        </w:rPr>
        <w:t>Project mBridge Update for Commercial Banks (Q4 2025).</w:t>
      </w:r>
    </w:p>
    <w:p w14:paraId="1D26B612" w14:textId="77777777" w:rsidR="00500B90" w:rsidRPr="00500B90" w:rsidRDefault="00500B90" w:rsidP="00500B90">
      <w:pPr>
        <w:numPr>
          <w:ilvl w:val="0"/>
          <w:numId w:val="11"/>
        </w:numPr>
        <w:spacing w:after="12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CBUAE (Central Bank of UAE):</w:t>
      </w:r>
      <w:r w:rsidRPr="00500B90">
        <w:rPr>
          <w:rFonts w:eastAsia="Times New Roman" w:cs="Times New Roman"/>
          <w:kern w:val="0"/>
          <w:sz w:val="22"/>
          <w:szCs w:val="22"/>
          <w14:ligatures w14:val="none"/>
        </w:rPr>
        <w:t xml:space="preserve"> </w:t>
      </w:r>
      <w:r w:rsidRPr="00500B90">
        <w:rPr>
          <w:rFonts w:eastAsia="Times New Roman" w:cs="Times New Roman"/>
          <w:i/>
          <w:iCs/>
          <w:kern w:val="0"/>
          <w:sz w:val="22"/>
          <w:szCs w:val="22"/>
          <w14:ligatures w14:val="none"/>
        </w:rPr>
        <w:t>Report on Bilateral Local Currency Settlement with India and Egypt.</w:t>
      </w:r>
    </w:p>
    <w:p w14:paraId="73C41C24" w14:textId="3E1657B1" w:rsidR="00500B90" w:rsidRPr="00500B90" w:rsidRDefault="00500B90" w:rsidP="00500B90">
      <w:pPr>
        <w:numPr>
          <w:ilvl w:val="0"/>
          <w:numId w:val="11"/>
        </w:numPr>
        <w:spacing w:after="120" w:line="240" w:lineRule="auto"/>
        <w:rPr>
          <w:rFonts w:eastAsia="Times New Roman" w:cs="Times New Roman"/>
          <w:kern w:val="0"/>
          <w:sz w:val="22"/>
          <w:szCs w:val="22"/>
          <w14:ligatures w14:val="none"/>
        </w:rPr>
      </w:pPr>
      <w:r w:rsidRPr="00500B90">
        <w:rPr>
          <w:rFonts w:eastAsia="Times New Roman" w:cs="Times New Roman"/>
          <w:b/>
          <w:bCs/>
          <w:kern w:val="0"/>
          <w:sz w:val="22"/>
          <w:szCs w:val="22"/>
          <w14:ligatures w14:val="none"/>
        </w:rPr>
        <w:t>Trade Finance Global:</w:t>
      </w:r>
      <w:r w:rsidRPr="00500B90">
        <w:rPr>
          <w:rFonts w:eastAsia="Times New Roman" w:cs="Times New Roman"/>
          <w:kern w:val="0"/>
          <w:sz w:val="22"/>
          <w:szCs w:val="22"/>
          <w14:ligatures w14:val="none"/>
        </w:rPr>
        <w:t xml:space="preserve"> </w:t>
      </w:r>
      <w:r w:rsidRPr="00500B90">
        <w:rPr>
          <w:rFonts w:eastAsia="Times New Roman" w:cs="Times New Roman"/>
          <w:i/>
          <w:iCs/>
          <w:kern w:val="0"/>
          <w:sz w:val="22"/>
          <w:szCs w:val="22"/>
          <w14:ligatures w14:val="none"/>
        </w:rPr>
        <w:t>FAB and the Digitization of SME Trade in the MENA Region.</w:t>
      </w:r>
    </w:p>
    <w:sectPr w:rsidR="00500B90" w:rsidRPr="00500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93CE0"/>
    <w:multiLevelType w:val="multilevel"/>
    <w:tmpl w:val="5B84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A14FF"/>
    <w:multiLevelType w:val="multilevel"/>
    <w:tmpl w:val="3F74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57264"/>
    <w:multiLevelType w:val="multilevel"/>
    <w:tmpl w:val="4C82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5D68DE"/>
    <w:multiLevelType w:val="multilevel"/>
    <w:tmpl w:val="A518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5B0DD6"/>
    <w:multiLevelType w:val="multilevel"/>
    <w:tmpl w:val="DAD0E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735FE5"/>
    <w:multiLevelType w:val="multilevel"/>
    <w:tmpl w:val="58AE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494332"/>
    <w:multiLevelType w:val="multilevel"/>
    <w:tmpl w:val="4D2E3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E05AE6"/>
    <w:multiLevelType w:val="multilevel"/>
    <w:tmpl w:val="D4EE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D84610"/>
    <w:multiLevelType w:val="multilevel"/>
    <w:tmpl w:val="2DD6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734689"/>
    <w:multiLevelType w:val="multilevel"/>
    <w:tmpl w:val="8B4A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D96DCB"/>
    <w:multiLevelType w:val="multilevel"/>
    <w:tmpl w:val="9FBEC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1846042">
    <w:abstractNumId w:val="9"/>
  </w:num>
  <w:num w:numId="2" w16cid:durableId="1836797273">
    <w:abstractNumId w:val="7"/>
  </w:num>
  <w:num w:numId="3" w16cid:durableId="1582173665">
    <w:abstractNumId w:val="1"/>
  </w:num>
  <w:num w:numId="4" w16cid:durableId="444617581">
    <w:abstractNumId w:val="2"/>
  </w:num>
  <w:num w:numId="5" w16cid:durableId="170679356">
    <w:abstractNumId w:val="3"/>
  </w:num>
  <w:num w:numId="6" w16cid:durableId="315914513">
    <w:abstractNumId w:val="4"/>
  </w:num>
  <w:num w:numId="7" w16cid:durableId="728768997">
    <w:abstractNumId w:val="6"/>
  </w:num>
  <w:num w:numId="8" w16cid:durableId="54817555">
    <w:abstractNumId w:val="0"/>
  </w:num>
  <w:num w:numId="9" w16cid:durableId="941038234">
    <w:abstractNumId w:val="8"/>
  </w:num>
  <w:num w:numId="10" w16cid:durableId="716275373">
    <w:abstractNumId w:val="5"/>
  </w:num>
  <w:num w:numId="11" w16cid:durableId="11280124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U0NjIzNTQyNrG0NDZU0lEKTi0uzszPAykwqgUAg2zhuywAAAA="/>
  </w:docVars>
  <w:rsids>
    <w:rsidRoot w:val="0007068C"/>
    <w:rsid w:val="0007068C"/>
    <w:rsid w:val="00500B90"/>
    <w:rsid w:val="005020E7"/>
    <w:rsid w:val="0098613E"/>
    <w:rsid w:val="00A03483"/>
    <w:rsid w:val="00B02C76"/>
    <w:rsid w:val="00D05DE8"/>
    <w:rsid w:val="00F6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EEEDA"/>
  <w15:chartTrackingRefBased/>
  <w15:docId w15:val="{0173E642-7072-4513-BBE8-B30DA1F2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6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6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706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6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6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6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6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6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6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6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6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706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6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6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6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6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6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68C"/>
    <w:rPr>
      <w:rFonts w:eastAsiaTheme="majorEastAsia" w:cstheme="majorBidi"/>
      <w:color w:val="272727" w:themeColor="text1" w:themeTint="D8"/>
    </w:rPr>
  </w:style>
  <w:style w:type="paragraph" w:styleId="Title">
    <w:name w:val="Title"/>
    <w:basedOn w:val="Normal"/>
    <w:next w:val="Normal"/>
    <w:link w:val="TitleChar"/>
    <w:uiPriority w:val="10"/>
    <w:qFormat/>
    <w:rsid w:val="000706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6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6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6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68C"/>
    <w:pPr>
      <w:spacing w:before="160"/>
      <w:jc w:val="center"/>
    </w:pPr>
    <w:rPr>
      <w:i/>
      <w:iCs/>
      <w:color w:val="404040" w:themeColor="text1" w:themeTint="BF"/>
    </w:rPr>
  </w:style>
  <w:style w:type="character" w:customStyle="1" w:styleId="QuoteChar">
    <w:name w:val="Quote Char"/>
    <w:basedOn w:val="DefaultParagraphFont"/>
    <w:link w:val="Quote"/>
    <w:uiPriority w:val="29"/>
    <w:rsid w:val="0007068C"/>
    <w:rPr>
      <w:i/>
      <w:iCs/>
      <w:color w:val="404040" w:themeColor="text1" w:themeTint="BF"/>
    </w:rPr>
  </w:style>
  <w:style w:type="paragraph" w:styleId="ListParagraph">
    <w:name w:val="List Paragraph"/>
    <w:basedOn w:val="Normal"/>
    <w:uiPriority w:val="34"/>
    <w:qFormat/>
    <w:rsid w:val="0007068C"/>
    <w:pPr>
      <w:ind w:left="720"/>
      <w:contextualSpacing/>
    </w:pPr>
  </w:style>
  <w:style w:type="character" w:styleId="IntenseEmphasis">
    <w:name w:val="Intense Emphasis"/>
    <w:basedOn w:val="DefaultParagraphFont"/>
    <w:uiPriority w:val="21"/>
    <w:qFormat/>
    <w:rsid w:val="0007068C"/>
    <w:rPr>
      <w:i/>
      <w:iCs/>
      <w:color w:val="0F4761" w:themeColor="accent1" w:themeShade="BF"/>
    </w:rPr>
  </w:style>
  <w:style w:type="paragraph" w:styleId="IntenseQuote">
    <w:name w:val="Intense Quote"/>
    <w:basedOn w:val="Normal"/>
    <w:next w:val="Normal"/>
    <w:link w:val="IntenseQuoteChar"/>
    <w:uiPriority w:val="30"/>
    <w:qFormat/>
    <w:rsid w:val="00070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68C"/>
    <w:rPr>
      <w:i/>
      <w:iCs/>
      <w:color w:val="0F4761" w:themeColor="accent1" w:themeShade="BF"/>
    </w:rPr>
  </w:style>
  <w:style w:type="character" w:styleId="IntenseReference">
    <w:name w:val="Intense Reference"/>
    <w:basedOn w:val="DefaultParagraphFont"/>
    <w:uiPriority w:val="32"/>
    <w:qFormat/>
    <w:rsid w:val="0007068C"/>
    <w:rPr>
      <w:b/>
      <w:bCs/>
      <w:smallCaps/>
      <w:color w:val="0F4761" w:themeColor="accent1" w:themeShade="BF"/>
      <w:spacing w:val="5"/>
    </w:rPr>
  </w:style>
  <w:style w:type="paragraph" w:customStyle="1" w:styleId="ng-star-inserted">
    <w:name w:val="ng-star-inserted"/>
    <w:basedOn w:val="Normal"/>
    <w:rsid w:val="0007068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070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1081</Words>
  <Characters>6962</Characters>
  <Application>Microsoft Office Word</Application>
  <DocSecurity>0</DocSecurity>
  <Lines>169</Lines>
  <Paragraphs>9</Paragraphs>
  <ScaleCrop>false</ScaleCrop>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3</cp:revision>
  <dcterms:created xsi:type="dcterms:W3CDTF">2026-02-09T17:44:00Z</dcterms:created>
  <dcterms:modified xsi:type="dcterms:W3CDTF">2026-02-09T18:01:00Z</dcterms:modified>
</cp:coreProperties>
</file>