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0351" w14:textId="77777777" w:rsidR="009A280F" w:rsidRP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As of early 2026, the North American remittance market remains the world’s most significant source of cross-border outflows. The market has shifted heavily toward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mobile-first digital aggregators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, though traditional retail giants maintain a lead in cash-payout corridors.</w:t>
      </w:r>
    </w:p>
    <w:p w14:paraId="52592F63" w14:textId="77777777" w:rsid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The following data is synthesized from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 Remittance Prices Worldwide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KNOMAD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, and annual financial filings (SEC/SEDAR) for the major operators.</w:t>
      </w:r>
    </w:p>
    <w:p w14:paraId="51B42893" w14:textId="77777777" w:rsidR="009A280F" w:rsidRP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27BD7A2" w14:textId="77777777" w:rsidR="009A280F" w:rsidRPr="009A280F" w:rsidRDefault="009A280F" w:rsidP="009A280F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Top USA &amp; Canada Remittance Aggregators (2025/26 Estimates)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812"/>
        <w:gridCol w:w="2364"/>
        <w:gridCol w:w="4333"/>
      </w:tblGrid>
      <w:tr w:rsidR="009A280F" w:rsidRPr="009A280F" w14:paraId="220F3DB5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C468F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Aggregator</w:t>
            </w:r>
          </w:p>
        </w:tc>
        <w:tc>
          <w:tcPr>
            <w:tcW w:w="0" w:type="auto"/>
            <w:vAlign w:val="center"/>
            <w:hideMark/>
          </w:tcPr>
          <w:p w14:paraId="05FB9439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HQ</w:t>
            </w:r>
          </w:p>
        </w:tc>
        <w:tc>
          <w:tcPr>
            <w:tcW w:w="2334" w:type="dxa"/>
            <w:vAlign w:val="center"/>
            <w:hideMark/>
          </w:tcPr>
          <w:p w14:paraId="1F7211FF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Global Annual Volume</w:t>
            </w:r>
          </w:p>
        </w:tc>
        <w:tc>
          <w:tcPr>
            <w:tcW w:w="4288" w:type="dxa"/>
            <w:vAlign w:val="center"/>
            <w:hideMark/>
          </w:tcPr>
          <w:p w14:paraId="76291B75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North American Market Role</w:t>
            </w:r>
          </w:p>
        </w:tc>
      </w:tr>
      <w:tr w:rsidR="009A280F" w:rsidRPr="009A280F" w14:paraId="1962630A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F194D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Western Union</w:t>
            </w:r>
          </w:p>
        </w:tc>
        <w:tc>
          <w:tcPr>
            <w:tcW w:w="0" w:type="auto"/>
            <w:vAlign w:val="center"/>
            <w:hideMark/>
          </w:tcPr>
          <w:p w14:paraId="673A82E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USA</w:t>
            </w:r>
          </w:p>
        </w:tc>
        <w:tc>
          <w:tcPr>
            <w:tcW w:w="2334" w:type="dxa"/>
            <w:vAlign w:val="center"/>
            <w:hideMark/>
          </w:tcPr>
          <w:p w14:paraId="4ABDA3C6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$105B - $115B</w:t>
            </w:r>
          </w:p>
        </w:tc>
        <w:tc>
          <w:tcPr>
            <w:tcW w:w="4288" w:type="dxa"/>
            <w:vAlign w:val="center"/>
            <w:hideMark/>
          </w:tcPr>
          <w:p w14:paraId="6840CF6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Omnichannel leader; dominates cash-to-cash.</w:t>
            </w:r>
          </w:p>
        </w:tc>
      </w:tr>
      <w:tr w:rsidR="009A280F" w:rsidRPr="009A280F" w14:paraId="2756B7B5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E3352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83D5EF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USA</w:t>
            </w:r>
          </w:p>
        </w:tc>
        <w:tc>
          <w:tcPr>
            <w:tcW w:w="2334" w:type="dxa"/>
            <w:vAlign w:val="center"/>
            <w:hideMark/>
          </w:tcPr>
          <w:p w14:paraId="2EB3297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$45B - $52B</w:t>
            </w:r>
          </w:p>
        </w:tc>
        <w:tc>
          <w:tcPr>
            <w:tcW w:w="4288" w:type="dxa"/>
            <w:vAlign w:val="center"/>
            <w:hideMark/>
          </w:tcPr>
          <w:p w14:paraId="2A4B5709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Leading pure-digital aggregator; fastest growth.</w:t>
            </w:r>
          </w:p>
        </w:tc>
      </w:tr>
      <w:tr w:rsidR="009A280F" w:rsidRPr="009A280F" w14:paraId="2BAD2FE7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26083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Wise</w:t>
            </w:r>
          </w:p>
        </w:tc>
        <w:tc>
          <w:tcPr>
            <w:tcW w:w="0" w:type="auto"/>
            <w:vAlign w:val="center"/>
            <w:hideMark/>
          </w:tcPr>
          <w:p w14:paraId="55CD5F8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UK/USA</w:t>
            </w:r>
          </w:p>
        </w:tc>
        <w:tc>
          <w:tcPr>
            <w:tcW w:w="2334" w:type="dxa"/>
            <w:vAlign w:val="center"/>
            <w:hideMark/>
          </w:tcPr>
          <w:p w14:paraId="42D77585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$120B+ (Total)</w:t>
            </w:r>
          </w:p>
        </w:tc>
        <w:tc>
          <w:tcPr>
            <w:tcW w:w="4288" w:type="dxa"/>
            <w:vAlign w:val="center"/>
            <w:hideMark/>
          </w:tcPr>
          <w:p w14:paraId="5EC44C3A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Leader for bank-to-bank and high-value transfers.</w:t>
            </w:r>
          </w:p>
        </w:tc>
      </w:tr>
      <w:tr w:rsidR="009A280F" w:rsidRPr="009A280F" w14:paraId="0089737D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37ACC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Ria Money Transfer</w:t>
            </w:r>
          </w:p>
        </w:tc>
        <w:tc>
          <w:tcPr>
            <w:tcW w:w="0" w:type="auto"/>
            <w:vAlign w:val="center"/>
            <w:hideMark/>
          </w:tcPr>
          <w:p w14:paraId="3C5AC1B2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USA</w:t>
            </w:r>
          </w:p>
        </w:tc>
        <w:tc>
          <w:tcPr>
            <w:tcW w:w="2334" w:type="dxa"/>
            <w:vAlign w:val="center"/>
            <w:hideMark/>
          </w:tcPr>
          <w:p w14:paraId="00C59E7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$35B - $40B</w:t>
            </w:r>
          </w:p>
        </w:tc>
        <w:tc>
          <w:tcPr>
            <w:tcW w:w="4288" w:type="dxa"/>
            <w:vAlign w:val="center"/>
            <w:hideMark/>
          </w:tcPr>
          <w:p w14:paraId="385DC633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Strongest in US-to-Latin America corridors.</w:t>
            </w:r>
          </w:p>
        </w:tc>
      </w:tr>
      <w:tr w:rsidR="009A280F" w:rsidRPr="009A280F" w14:paraId="4158E9E1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04300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MoneyGram</w:t>
            </w:r>
          </w:p>
        </w:tc>
        <w:tc>
          <w:tcPr>
            <w:tcW w:w="0" w:type="auto"/>
            <w:vAlign w:val="center"/>
            <w:hideMark/>
          </w:tcPr>
          <w:p w14:paraId="54B72081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USA</w:t>
            </w:r>
          </w:p>
        </w:tc>
        <w:tc>
          <w:tcPr>
            <w:tcW w:w="2334" w:type="dxa"/>
            <w:vAlign w:val="center"/>
            <w:hideMark/>
          </w:tcPr>
          <w:p w14:paraId="1066E17A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$30B - $35B</w:t>
            </w:r>
          </w:p>
        </w:tc>
        <w:tc>
          <w:tcPr>
            <w:tcW w:w="4288" w:type="dxa"/>
            <w:vAlign w:val="center"/>
            <w:hideMark/>
          </w:tcPr>
          <w:p w14:paraId="55E4B0A1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Private-equity owned; focus on crypto-onramps.</w:t>
            </w:r>
          </w:p>
        </w:tc>
      </w:tr>
      <w:tr w:rsidR="009A280F" w:rsidRPr="009A280F" w14:paraId="0F750356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12AF8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Xoom (PayPal)</w:t>
            </w:r>
          </w:p>
        </w:tc>
        <w:tc>
          <w:tcPr>
            <w:tcW w:w="0" w:type="auto"/>
            <w:vAlign w:val="center"/>
            <w:hideMark/>
          </w:tcPr>
          <w:p w14:paraId="2CAA117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USA</w:t>
            </w:r>
          </w:p>
        </w:tc>
        <w:tc>
          <w:tcPr>
            <w:tcW w:w="2334" w:type="dxa"/>
            <w:vAlign w:val="center"/>
            <w:hideMark/>
          </w:tcPr>
          <w:p w14:paraId="136D8E07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$15B - $20B</w:t>
            </w:r>
          </w:p>
        </w:tc>
        <w:tc>
          <w:tcPr>
            <w:tcW w:w="4288" w:type="dxa"/>
            <w:vAlign w:val="center"/>
            <w:hideMark/>
          </w:tcPr>
          <w:p w14:paraId="6CEE5D0F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High integration with US bank accounts.</w:t>
            </w:r>
          </w:p>
        </w:tc>
      </w:tr>
      <w:tr w:rsidR="009A280F" w:rsidRPr="009A280F" w14:paraId="53352441" w14:textId="77777777" w:rsidTr="009A28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DA986" w14:textId="5132D86E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/</w:t>
            </w:r>
            <w:proofErr w:type="spellStart"/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Zepz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2D44C3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UK/CAN</w:t>
            </w:r>
          </w:p>
        </w:tc>
        <w:tc>
          <w:tcPr>
            <w:tcW w:w="2334" w:type="dxa"/>
            <w:vAlign w:val="center"/>
            <w:hideMark/>
          </w:tcPr>
          <w:p w14:paraId="1DB3A078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$12B - $15B</w:t>
            </w:r>
          </w:p>
        </w:tc>
        <w:tc>
          <w:tcPr>
            <w:tcW w:w="4288" w:type="dxa"/>
            <w:vAlign w:val="center"/>
            <w:hideMark/>
          </w:tcPr>
          <w:p w14:paraId="0F1FD4D8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Significant market share in Canada-to-Africa.</w:t>
            </w:r>
          </w:p>
        </w:tc>
      </w:tr>
    </w:tbl>
    <w:p w14:paraId="3BCD7300" w14:textId="77777777" w:rsidR="009A280F" w:rsidRPr="009A280F" w:rsidRDefault="009A280F" w:rsidP="009A280F">
      <w:pPr>
        <w:spacing w:before="120"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USA Outbound: Destinations &amp; Volumes</w:t>
      </w:r>
    </w:p>
    <w:p w14:paraId="53C1900E" w14:textId="77777777" w:rsidR="009A280F" w:rsidRP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The USA is the largest remitting country in the world (approx.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$85B+ annually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). Its outflows are heavily </w:t>
      </w:r>
      <w:proofErr w:type="gramStart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weighted</w:t>
      </w:r>
      <w:proofErr w:type="gramEnd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toward the Western Hemisphere.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2866"/>
        <w:gridCol w:w="1178"/>
        <w:gridCol w:w="3508"/>
      </w:tblGrid>
      <w:tr w:rsidR="009A280F" w:rsidRPr="009A280F" w14:paraId="296335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046BF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</w:t>
            </w:r>
          </w:p>
        </w:tc>
        <w:tc>
          <w:tcPr>
            <w:tcW w:w="0" w:type="auto"/>
            <w:vAlign w:val="center"/>
            <w:hideMark/>
          </w:tcPr>
          <w:p w14:paraId="4266E92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from USA</w:t>
            </w:r>
          </w:p>
        </w:tc>
        <w:tc>
          <w:tcPr>
            <w:tcW w:w="0" w:type="auto"/>
            <w:vAlign w:val="center"/>
            <w:hideMark/>
          </w:tcPr>
          <w:p w14:paraId="010C2A62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Cost %</w:t>
            </w:r>
          </w:p>
        </w:tc>
        <w:tc>
          <w:tcPr>
            <w:tcW w:w="0" w:type="auto"/>
            <w:vAlign w:val="center"/>
            <w:hideMark/>
          </w:tcPr>
          <w:p w14:paraId="4AC2AC92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</w:tr>
      <w:tr w:rsidR="009A280F" w:rsidRPr="009A280F" w14:paraId="5C952E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5561B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Mexico</w:t>
            </w:r>
          </w:p>
        </w:tc>
        <w:tc>
          <w:tcPr>
            <w:tcW w:w="0" w:type="auto"/>
            <w:vAlign w:val="center"/>
            <w:hideMark/>
          </w:tcPr>
          <w:p w14:paraId="27F5357B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$62.0B</w:t>
            </w:r>
          </w:p>
        </w:tc>
        <w:tc>
          <w:tcPr>
            <w:tcW w:w="0" w:type="auto"/>
            <w:vAlign w:val="center"/>
            <w:hideMark/>
          </w:tcPr>
          <w:p w14:paraId="05118A33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- 4.2%</w:t>
            </w:r>
          </w:p>
        </w:tc>
        <w:tc>
          <w:tcPr>
            <w:tcW w:w="0" w:type="auto"/>
            <w:vAlign w:val="center"/>
            <w:hideMark/>
          </w:tcPr>
          <w:p w14:paraId="0CEF8A31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Western Union, Ria,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Bitso</w:t>
            </w:r>
            <w:proofErr w:type="spellEnd"/>
          </w:p>
        </w:tc>
      </w:tr>
      <w:tr w:rsidR="009A280F" w:rsidRPr="009A280F" w14:paraId="0A5DE3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66D0A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vAlign w:val="center"/>
            <w:hideMark/>
          </w:tcPr>
          <w:p w14:paraId="1162116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$14.5B</w:t>
            </w:r>
          </w:p>
        </w:tc>
        <w:tc>
          <w:tcPr>
            <w:tcW w:w="0" w:type="auto"/>
            <w:vAlign w:val="center"/>
            <w:hideMark/>
          </w:tcPr>
          <w:p w14:paraId="7A430837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1.8% - 2.5%</w:t>
            </w:r>
          </w:p>
        </w:tc>
        <w:tc>
          <w:tcPr>
            <w:tcW w:w="0" w:type="auto"/>
            <w:vAlign w:val="center"/>
            <w:hideMark/>
          </w:tcPr>
          <w:p w14:paraId="789F17B8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Xoom, Western Union</w:t>
            </w:r>
          </w:p>
        </w:tc>
      </w:tr>
      <w:tr w:rsidR="009A280F" w:rsidRPr="009A280F" w14:paraId="599772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B25B2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13E1EF0A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$11.0B</w:t>
            </w:r>
          </w:p>
        </w:tc>
        <w:tc>
          <w:tcPr>
            <w:tcW w:w="0" w:type="auto"/>
            <w:vAlign w:val="center"/>
            <w:hideMark/>
          </w:tcPr>
          <w:p w14:paraId="5D9C1026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2.5% - 3.2%</w:t>
            </w:r>
          </w:p>
        </w:tc>
        <w:tc>
          <w:tcPr>
            <w:tcW w:w="0" w:type="auto"/>
            <w:vAlign w:val="center"/>
            <w:hideMark/>
          </w:tcPr>
          <w:p w14:paraId="4724608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MoneyGram</w:t>
            </w:r>
          </w:p>
        </w:tc>
      </w:tr>
      <w:tr w:rsidR="009A280F" w:rsidRPr="009A280F" w14:paraId="01D3D5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53552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China</w:t>
            </w:r>
          </w:p>
        </w:tc>
        <w:tc>
          <w:tcPr>
            <w:tcW w:w="0" w:type="auto"/>
            <w:vAlign w:val="center"/>
            <w:hideMark/>
          </w:tcPr>
          <w:p w14:paraId="3CDB4B01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$8.5B</w:t>
            </w:r>
          </w:p>
        </w:tc>
        <w:tc>
          <w:tcPr>
            <w:tcW w:w="0" w:type="auto"/>
            <w:vAlign w:val="center"/>
            <w:hideMark/>
          </w:tcPr>
          <w:p w14:paraId="43D9326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2.8% - 3.5%</w:t>
            </w:r>
          </w:p>
        </w:tc>
        <w:tc>
          <w:tcPr>
            <w:tcW w:w="0" w:type="auto"/>
            <w:vAlign w:val="center"/>
            <w:hideMark/>
          </w:tcPr>
          <w:p w14:paraId="7E6EF5A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Western Union (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AliPay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/WeChat)</w:t>
            </w:r>
          </w:p>
        </w:tc>
      </w:tr>
      <w:tr w:rsidR="009A280F" w:rsidRPr="009A280F" w14:paraId="0B7D91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E8518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Guatemala</w:t>
            </w:r>
          </w:p>
        </w:tc>
        <w:tc>
          <w:tcPr>
            <w:tcW w:w="0" w:type="auto"/>
            <w:vAlign w:val="center"/>
            <w:hideMark/>
          </w:tcPr>
          <w:p w14:paraId="6034B7CB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$7.2B</w:t>
            </w:r>
          </w:p>
        </w:tc>
        <w:tc>
          <w:tcPr>
            <w:tcW w:w="0" w:type="auto"/>
            <w:vAlign w:val="center"/>
            <w:hideMark/>
          </w:tcPr>
          <w:p w14:paraId="617BE1E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4.5% - 5.5%</w:t>
            </w:r>
          </w:p>
        </w:tc>
        <w:tc>
          <w:tcPr>
            <w:tcW w:w="0" w:type="auto"/>
            <w:vAlign w:val="center"/>
            <w:hideMark/>
          </w:tcPr>
          <w:p w14:paraId="6897329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Ria,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Viamericas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Western Union</w:t>
            </w:r>
          </w:p>
        </w:tc>
      </w:tr>
      <w:tr w:rsidR="009A280F" w:rsidRPr="009A280F" w14:paraId="54C7BA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698C2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742F425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$4.5B</w:t>
            </w:r>
          </w:p>
        </w:tc>
        <w:tc>
          <w:tcPr>
            <w:tcW w:w="0" w:type="auto"/>
            <w:vAlign w:val="center"/>
            <w:hideMark/>
          </w:tcPr>
          <w:p w14:paraId="5411B53D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3.8% - 6.0%</w:t>
            </w:r>
          </w:p>
        </w:tc>
        <w:tc>
          <w:tcPr>
            <w:tcW w:w="0" w:type="auto"/>
            <w:vAlign w:val="center"/>
            <w:hideMark/>
          </w:tcPr>
          <w:p w14:paraId="4662BBB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LemFi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Sendwave</w:t>
            </w:r>
            <w:proofErr w:type="spellEnd"/>
          </w:p>
        </w:tc>
      </w:tr>
    </w:tbl>
    <w:p w14:paraId="37352DAE" w14:textId="73F44993" w:rsidR="009A280F" w:rsidRDefault="009A280F" w:rsidP="009A280F">
      <w:pPr>
        <w:spacing w:before="120"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Key Trend: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Mexico accounts for nearly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70% of all US outbound volume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. This corridor has seen a surge in "Crypto-Remittance" (Stablecoin settlement) via aggregators like </w:t>
      </w:r>
      <w:proofErr w:type="spellStart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Bitso</w:t>
      </w:r>
      <w:proofErr w:type="spellEnd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, which now handles an estimated 5–8% of the total US-Mexico volume.</w:t>
      </w:r>
    </w:p>
    <w:p w14:paraId="05E4A4B2" w14:textId="77777777" w:rsid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C6681AA" w14:textId="77777777" w:rsid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E263977" w14:textId="77777777" w:rsidR="009A280F" w:rsidRPr="009A280F" w:rsidRDefault="009A280F" w:rsidP="009A280F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lastRenderedPageBreak/>
        <w:t>3. Canada Outbound: Destinations &amp; Volumes</w:t>
      </w:r>
    </w:p>
    <w:p w14:paraId="6B77481E" w14:textId="77777777" w:rsidR="009A280F" w:rsidRP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Canada’s outbound volume (approx.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$28B annually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) is distinct from the US, with a much heavier focus on South Asia and the Commonwealth.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2894"/>
        <w:gridCol w:w="1178"/>
        <w:gridCol w:w="3165"/>
      </w:tblGrid>
      <w:tr w:rsidR="009A280F" w:rsidRPr="009A280F" w14:paraId="24E9A5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6A873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</w:t>
            </w:r>
          </w:p>
        </w:tc>
        <w:tc>
          <w:tcPr>
            <w:tcW w:w="0" w:type="auto"/>
            <w:vAlign w:val="center"/>
            <w:hideMark/>
          </w:tcPr>
          <w:p w14:paraId="32491FDE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from CAN</w:t>
            </w:r>
          </w:p>
        </w:tc>
        <w:tc>
          <w:tcPr>
            <w:tcW w:w="0" w:type="auto"/>
            <w:vAlign w:val="center"/>
            <w:hideMark/>
          </w:tcPr>
          <w:p w14:paraId="3A584431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Cost %</w:t>
            </w:r>
          </w:p>
        </w:tc>
        <w:tc>
          <w:tcPr>
            <w:tcW w:w="0" w:type="auto"/>
            <w:vAlign w:val="center"/>
            <w:hideMark/>
          </w:tcPr>
          <w:p w14:paraId="673CDCA5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</w:tr>
      <w:tr w:rsidR="009A280F" w:rsidRPr="009A280F" w14:paraId="07D4A2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94BC3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vAlign w:val="center"/>
            <w:hideMark/>
          </w:tcPr>
          <w:p w14:paraId="582C3F78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$9.8B</w:t>
            </w:r>
          </w:p>
        </w:tc>
        <w:tc>
          <w:tcPr>
            <w:tcW w:w="0" w:type="auto"/>
            <w:vAlign w:val="center"/>
            <w:hideMark/>
          </w:tcPr>
          <w:p w14:paraId="348BD14F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1.5% - 2.2%</w:t>
            </w:r>
          </w:p>
        </w:tc>
        <w:tc>
          <w:tcPr>
            <w:tcW w:w="0" w:type="auto"/>
            <w:vAlign w:val="center"/>
            <w:hideMark/>
          </w:tcPr>
          <w:p w14:paraId="72E9A10F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Simplii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Financial</w:t>
            </w:r>
          </w:p>
        </w:tc>
      </w:tr>
      <w:tr w:rsidR="009A280F" w:rsidRPr="009A280F" w14:paraId="24C5A9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3912A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0394B8B3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$4.2B</w:t>
            </w:r>
          </w:p>
        </w:tc>
        <w:tc>
          <w:tcPr>
            <w:tcW w:w="0" w:type="auto"/>
            <w:vAlign w:val="center"/>
            <w:hideMark/>
          </w:tcPr>
          <w:p w14:paraId="7B7E6698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2.2% - 3.0%</w:t>
            </w:r>
          </w:p>
        </w:tc>
        <w:tc>
          <w:tcPr>
            <w:tcW w:w="0" w:type="auto"/>
            <w:vAlign w:val="center"/>
            <w:hideMark/>
          </w:tcPr>
          <w:p w14:paraId="3B32BE92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CIBC Global</w:t>
            </w:r>
          </w:p>
        </w:tc>
      </w:tr>
      <w:tr w:rsidR="009A280F" w:rsidRPr="009A280F" w14:paraId="1F6136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471C2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China</w:t>
            </w:r>
          </w:p>
        </w:tc>
        <w:tc>
          <w:tcPr>
            <w:tcW w:w="0" w:type="auto"/>
            <w:vAlign w:val="center"/>
            <w:hideMark/>
          </w:tcPr>
          <w:p w14:paraId="1B8D0CA6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$3.5B</w:t>
            </w:r>
          </w:p>
        </w:tc>
        <w:tc>
          <w:tcPr>
            <w:tcW w:w="0" w:type="auto"/>
            <w:vAlign w:val="center"/>
            <w:hideMark/>
          </w:tcPr>
          <w:p w14:paraId="0D2B08B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2.5% - 3.5%</w:t>
            </w:r>
          </w:p>
        </w:tc>
        <w:tc>
          <w:tcPr>
            <w:tcW w:w="0" w:type="auto"/>
            <w:vAlign w:val="center"/>
            <w:hideMark/>
          </w:tcPr>
          <w:p w14:paraId="46FAD243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ICICI Bank Canada</w:t>
            </w:r>
          </w:p>
        </w:tc>
      </w:tr>
      <w:tr w:rsidR="009A280F" w:rsidRPr="009A280F" w14:paraId="3DD880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47E06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Pakistan</w:t>
            </w:r>
          </w:p>
        </w:tc>
        <w:tc>
          <w:tcPr>
            <w:tcW w:w="0" w:type="auto"/>
            <w:vAlign w:val="center"/>
            <w:hideMark/>
          </w:tcPr>
          <w:p w14:paraId="6313AEDA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$2.1B</w:t>
            </w:r>
          </w:p>
        </w:tc>
        <w:tc>
          <w:tcPr>
            <w:tcW w:w="0" w:type="auto"/>
            <w:vAlign w:val="center"/>
            <w:hideMark/>
          </w:tcPr>
          <w:p w14:paraId="0527D902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2.0% - 3.0%</w:t>
            </w:r>
          </w:p>
        </w:tc>
        <w:tc>
          <w:tcPr>
            <w:tcW w:w="0" w:type="auto"/>
            <w:vAlign w:val="center"/>
            <w:hideMark/>
          </w:tcPr>
          <w:p w14:paraId="64BCE636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Ace Money Transfer</w:t>
            </w:r>
          </w:p>
        </w:tc>
      </w:tr>
      <w:tr w:rsidR="009A280F" w:rsidRPr="009A280F" w14:paraId="46EE3D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B3BE2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Vietnam</w:t>
            </w:r>
          </w:p>
        </w:tc>
        <w:tc>
          <w:tcPr>
            <w:tcW w:w="0" w:type="auto"/>
            <w:vAlign w:val="center"/>
            <w:hideMark/>
          </w:tcPr>
          <w:p w14:paraId="6AF523A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$1.8B</w:t>
            </w:r>
          </w:p>
        </w:tc>
        <w:tc>
          <w:tcPr>
            <w:tcW w:w="0" w:type="auto"/>
            <w:vAlign w:val="center"/>
            <w:hideMark/>
          </w:tcPr>
          <w:p w14:paraId="596542E9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3.0% - 4.0%</w:t>
            </w:r>
          </w:p>
        </w:tc>
        <w:tc>
          <w:tcPr>
            <w:tcW w:w="0" w:type="auto"/>
            <w:vAlign w:val="center"/>
            <w:hideMark/>
          </w:tcPr>
          <w:p w14:paraId="1CC4DA0F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Ria</w:t>
            </w:r>
          </w:p>
        </w:tc>
      </w:tr>
    </w:tbl>
    <w:p w14:paraId="3CABDFFF" w14:textId="77777777" w:rsidR="009A280F" w:rsidRPr="009A280F" w:rsidRDefault="009A280F" w:rsidP="009A280F">
      <w:pPr>
        <w:spacing w:before="120"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Key Trend: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In Canada, the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Big Five Banks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(CIBC, RBC, etc.) have aggressively integrated "Global Money Transfer" features directly into their mobile apps, offering $0-fee transfers to compete with </w:t>
      </w:r>
      <w:proofErr w:type="spellStart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Fintechs</w:t>
      </w:r>
      <w:proofErr w:type="spellEnd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, though they recoup costs through higher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FX Spreads (1.5% - 2.5%)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7A4D4DB8" w14:textId="77777777" w:rsidR="009A280F" w:rsidRPr="009A280F" w:rsidRDefault="009A280F" w:rsidP="009A280F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Detailed Cost Breakdown (USA/Canada to LMICs)</w:t>
      </w:r>
    </w:p>
    <w:p w14:paraId="02AB8B60" w14:textId="77777777" w:rsidR="009A280F" w:rsidRPr="009A280F" w:rsidRDefault="009A280F" w:rsidP="009A280F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Costs are generally split between the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Transaction Fee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the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FX Margin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(the markup on the exchange rate).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418"/>
        <w:gridCol w:w="1757"/>
        <w:gridCol w:w="2184"/>
      </w:tblGrid>
      <w:tr w:rsidR="009A280F" w:rsidRPr="009A280F" w14:paraId="3F839B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E9B59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Corridor Type</w:t>
            </w:r>
          </w:p>
        </w:tc>
        <w:tc>
          <w:tcPr>
            <w:tcW w:w="0" w:type="auto"/>
            <w:vAlign w:val="center"/>
            <w:hideMark/>
          </w:tcPr>
          <w:p w14:paraId="6D6A6505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Total Avg Cost</w:t>
            </w:r>
          </w:p>
        </w:tc>
        <w:tc>
          <w:tcPr>
            <w:tcW w:w="0" w:type="auto"/>
            <w:vAlign w:val="center"/>
            <w:hideMark/>
          </w:tcPr>
          <w:p w14:paraId="25B270C9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Fee Component</w:t>
            </w:r>
          </w:p>
        </w:tc>
        <w:tc>
          <w:tcPr>
            <w:tcW w:w="0" w:type="auto"/>
            <w:vAlign w:val="center"/>
            <w:hideMark/>
          </w:tcPr>
          <w:p w14:paraId="499DA30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FX Margin Component</w:t>
            </w:r>
          </w:p>
        </w:tc>
      </w:tr>
      <w:tr w:rsidR="009A280F" w:rsidRPr="009A280F" w14:paraId="7F679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84A23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Digital (Bank-to-Bank)</w:t>
            </w:r>
          </w:p>
        </w:tc>
        <w:tc>
          <w:tcPr>
            <w:tcW w:w="0" w:type="auto"/>
            <w:vAlign w:val="center"/>
            <w:hideMark/>
          </w:tcPr>
          <w:p w14:paraId="6E40F81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1.5% - 2.8%</w:t>
            </w:r>
          </w:p>
        </w:tc>
        <w:tc>
          <w:tcPr>
            <w:tcW w:w="0" w:type="auto"/>
            <w:vAlign w:val="center"/>
            <w:hideMark/>
          </w:tcPr>
          <w:p w14:paraId="4D7A0F86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Low/Fixed ($0 - $3)</w:t>
            </w:r>
          </w:p>
        </w:tc>
        <w:tc>
          <w:tcPr>
            <w:tcW w:w="0" w:type="auto"/>
            <w:vAlign w:val="center"/>
            <w:hideMark/>
          </w:tcPr>
          <w:p w14:paraId="5EB2760C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1.2% - 2.2%</w:t>
            </w:r>
          </w:p>
        </w:tc>
      </w:tr>
      <w:tr w:rsidR="009A280F" w:rsidRPr="009A280F" w14:paraId="401598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AA557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Digital (Card-to-Cash)</w:t>
            </w:r>
          </w:p>
        </w:tc>
        <w:tc>
          <w:tcPr>
            <w:tcW w:w="0" w:type="auto"/>
            <w:vAlign w:val="center"/>
            <w:hideMark/>
          </w:tcPr>
          <w:p w14:paraId="3025E2D5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3.5% - 5.5%</w:t>
            </w:r>
          </w:p>
        </w:tc>
        <w:tc>
          <w:tcPr>
            <w:tcW w:w="0" w:type="auto"/>
            <w:vAlign w:val="center"/>
            <w:hideMark/>
          </w:tcPr>
          <w:p w14:paraId="387BD242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Medium ($4 - $10)</w:t>
            </w:r>
          </w:p>
        </w:tc>
        <w:tc>
          <w:tcPr>
            <w:tcW w:w="0" w:type="auto"/>
            <w:vAlign w:val="center"/>
            <w:hideMark/>
          </w:tcPr>
          <w:p w14:paraId="013DEF65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2.0% - 3.5%</w:t>
            </w:r>
          </w:p>
        </w:tc>
      </w:tr>
      <w:tr w:rsidR="009A280F" w:rsidRPr="009A280F" w14:paraId="08FFD8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2249F" w14:textId="77777777" w:rsidR="009A280F" w:rsidRPr="009A280F" w:rsidRDefault="009A280F" w:rsidP="009A280F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Retail (Cash-to-Cash)</w:t>
            </w:r>
          </w:p>
        </w:tc>
        <w:tc>
          <w:tcPr>
            <w:tcW w:w="0" w:type="auto"/>
            <w:vAlign w:val="center"/>
            <w:hideMark/>
          </w:tcPr>
          <w:p w14:paraId="5C93940B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6.0% - 8.5%</w:t>
            </w:r>
          </w:p>
        </w:tc>
        <w:tc>
          <w:tcPr>
            <w:tcW w:w="0" w:type="auto"/>
            <w:vAlign w:val="center"/>
            <w:hideMark/>
          </w:tcPr>
          <w:p w14:paraId="24A35140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High ($10+)</w:t>
            </w:r>
          </w:p>
        </w:tc>
        <w:tc>
          <w:tcPr>
            <w:tcW w:w="0" w:type="auto"/>
            <w:vAlign w:val="center"/>
            <w:hideMark/>
          </w:tcPr>
          <w:p w14:paraId="2870C344" w14:textId="77777777" w:rsidR="009A280F" w:rsidRPr="009A280F" w:rsidRDefault="009A280F" w:rsidP="009A280F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A280F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3.0% - 5.0%</w:t>
            </w:r>
          </w:p>
        </w:tc>
      </w:tr>
    </w:tbl>
    <w:p w14:paraId="5A1AD313" w14:textId="77777777" w:rsidR="009A280F" w:rsidRPr="009A280F" w:rsidRDefault="009A280F" w:rsidP="009A280F">
      <w:pPr>
        <w:spacing w:before="120" w:after="120" w:line="240" w:lineRule="auto"/>
        <w:outlineLvl w:val="3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"Wise" vs. "</w:t>
      </w:r>
      <w:proofErr w:type="spellStart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Remitly</w:t>
      </w:r>
      <w:proofErr w:type="spellEnd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" Models:</w:t>
      </w:r>
    </w:p>
    <w:p w14:paraId="52206175" w14:textId="77777777" w:rsidR="009A280F" w:rsidRPr="009A280F" w:rsidRDefault="009A280F" w:rsidP="009A280F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Wise: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Charges a transparent fee (usually 0.4% - 0.9%) but uses the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Mid-Market Rate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(0% FX margin). This makes them the cheapest for transfers over $1,000.</w:t>
      </w:r>
    </w:p>
    <w:p w14:paraId="3C92E3CB" w14:textId="2731AF24" w:rsidR="009A280F" w:rsidRPr="009A280F" w:rsidRDefault="009A280F" w:rsidP="009A280F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Remitly</w:t>
      </w:r>
      <w:proofErr w:type="spellEnd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/Xoom: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Often advertise "$0 Fees," but apply a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1.5% - 3.0% FX margin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. This makes them more "predictable" for smaller transfers (under $200).</w:t>
      </w:r>
    </w:p>
    <w:p w14:paraId="6A39B132" w14:textId="77777777" w:rsidR="009A280F" w:rsidRPr="009A280F" w:rsidRDefault="009A280F" w:rsidP="009A280F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5. Regulatory &amp; Technical Drivers in 2026</w:t>
      </w:r>
    </w:p>
    <w:p w14:paraId="424FABD2" w14:textId="77777777" w:rsidR="009A280F" w:rsidRPr="009A280F" w:rsidRDefault="009A280F" w:rsidP="009A280F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FedNow</w:t>
      </w:r>
      <w:proofErr w:type="spellEnd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&amp; RTP (USA):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 full adoption of the </w:t>
      </w:r>
      <w:proofErr w:type="spellStart"/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FedNow</w:t>
      </w:r>
      <w:proofErr w:type="spellEnd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instant payment system has allowed US aggregators to fund their wallets instantly from consumer bank accounts, reducing "float time" and allowing for near-instant payouts to countries like India and Mexico.</w:t>
      </w:r>
    </w:p>
    <w:p w14:paraId="057F7D45" w14:textId="77777777" w:rsidR="009A280F" w:rsidRPr="009A280F" w:rsidRDefault="009A280F" w:rsidP="009A280F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Stablecoin Corridors: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Aggregators are increasingly using </w:t>
      </w: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USDC and PYUSD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(PayPal USD) as </w:t>
      </w:r>
      <w:proofErr w:type="gramStart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a "</w:t>
      </w:r>
      <w:proofErr w:type="gramEnd"/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>bridge currency." Instead of using the SWIFT network, an aggregator converts USD to USDC, sends it to a partner in the destination country (e.g., the Philippines), who then converts it to Pesos. This has reduced the cost of "pre-funding" accounts in LMICs.</w:t>
      </w:r>
    </w:p>
    <w:p w14:paraId="06F57BB7" w14:textId="77777777" w:rsidR="009A280F" w:rsidRPr="009A280F" w:rsidRDefault="009A280F" w:rsidP="009A280F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De-Risking: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Canada continues to face "De-risking" challenges, where major banks close the accounts of smaller MSBs (Money Service Businesses). This has consolidated the market into the hands of the top 5-7 large aggregators.</w:t>
      </w:r>
    </w:p>
    <w:p w14:paraId="1297BF13" w14:textId="77777777" w:rsidR="009A280F" w:rsidRPr="009A280F" w:rsidRDefault="009A280F" w:rsidP="009A280F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9A280F">
        <w:rPr>
          <w:rFonts w:eastAsia="Times New Roman" w:cs="Times New Roman"/>
          <w:b/>
          <w:bCs/>
          <w:kern w:val="0"/>
          <w14:ligatures w14:val="none"/>
        </w:rPr>
        <w:lastRenderedPageBreak/>
        <w:t>Sources:</w:t>
      </w:r>
    </w:p>
    <w:p w14:paraId="6289FA17" w14:textId="77777777" w:rsidR="009A280F" w:rsidRPr="009A280F" w:rsidRDefault="009A280F" w:rsidP="009A280F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9A280F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Remittance Prices Worldwide (RPW) Report, Q4 2025.</w:t>
      </w:r>
    </w:p>
    <w:p w14:paraId="624C3B6A" w14:textId="77777777" w:rsidR="009A280F" w:rsidRPr="009A280F" w:rsidRDefault="009A280F" w:rsidP="009A280F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KNOMAD: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9A280F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Migration and Development Brief 43 (The Global Remittance Outlook).</w:t>
      </w:r>
    </w:p>
    <w:p w14:paraId="21904367" w14:textId="77777777" w:rsidR="009A280F" w:rsidRPr="009A280F" w:rsidRDefault="009A280F" w:rsidP="009A280F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Statista: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9A280F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Market Share of Leading Remittance Apps in North America (2025).</w:t>
      </w:r>
    </w:p>
    <w:p w14:paraId="57285B2F" w14:textId="5DBC6382" w:rsidR="00A03483" w:rsidRPr="009A280F" w:rsidRDefault="009A280F" w:rsidP="009A280F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A280F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SEC Filings:</w:t>
      </w:r>
      <w:r w:rsidRPr="009A280F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9A280F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 xml:space="preserve">Western Union (Form 10-K 2025) and </w:t>
      </w:r>
      <w:proofErr w:type="spellStart"/>
      <w:r w:rsidRPr="009A280F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Remitly</w:t>
      </w:r>
      <w:proofErr w:type="spellEnd"/>
      <w:r w:rsidRPr="009A280F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 xml:space="preserve"> Global Inc (Form 10-K 2025).</w:t>
      </w:r>
    </w:p>
    <w:sectPr w:rsidR="00A03483" w:rsidRPr="009A2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F395D"/>
    <w:multiLevelType w:val="multilevel"/>
    <w:tmpl w:val="EC2C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16107"/>
    <w:multiLevelType w:val="multilevel"/>
    <w:tmpl w:val="0A24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80999"/>
    <w:multiLevelType w:val="multilevel"/>
    <w:tmpl w:val="B94E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981391">
    <w:abstractNumId w:val="2"/>
  </w:num>
  <w:num w:numId="2" w16cid:durableId="2115591030">
    <w:abstractNumId w:val="0"/>
  </w:num>
  <w:num w:numId="3" w16cid:durableId="239754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NTG3sDA0NjI2s7RU0lEKTi0uzszPAykwrAUAEaVdfiwAAAA="/>
  </w:docVars>
  <w:rsids>
    <w:rsidRoot w:val="009A280F"/>
    <w:rsid w:val="005020E7"/>
    <w:rsid w:val="005E28F9"/>
    <w:rsid w:val="0098613E"/>
    <w:rsid w:val="009A280F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A90C6"/>
  <w15:chartTrackingRefBased/>
  <w15:docId w15:val="{96F79DC7-A845-456E-91F5-DEC53E03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2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2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2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A2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80F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9A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9A2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2026-02-06T12:33:00Z</dcterms:created>
  <dcterms:modified xsi:type="dcterms:W3CDTF">2026-02-06T12:40:00Z</dcterms:modified>
</cp:coreProperties>
</file>