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CD9B" w14:textId="77777777" w:rsidR="000E437D" w:rsidRDefault="000E437D" w:rsidP="000E437D">
      <w:pPr>
        <w:pStyle w:val="ng-star-inserted"/>
        <w:shd w:val="clear" w:color="auto" w:fill="FFFFFF"/>
        <w:spacing w:before="0" w:beforeAutospacing="0" w:after="270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In the 2026 investment landscape, Family Offices (FOs) have become the "preferred" leads for Series A rounds in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Exchanges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and </w:t>
      </w:r>
      <w:proofErr w:type="spellStart"/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TradeTech</w:t>
      </w:r>
      <w:proofErr w:type="spellEnd"/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. Unlike traditional VCs who may be pressured by 10-year fund lifecycles, FOs provide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"Patient Capital"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and possess the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"Industrial DNA"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(owning ports, ships, and banks) required to scale complex market infrastructure.</w:t>
      </w:r>
    </w:p>
    <w:p w14:paraId="625C8282" w14:textId="77777777" w:rsidR="000E437D" w:rsidRDefault="000E437D" w:rsidP="000E437D">
      <w:pPr>
        <w:pStyle w:val="ng-star-inserted"/>
        <w:shd w:val="clear" w:color="auto" w:fill="FFFFFF"/>
        <w:spacing w:after="270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Here are the top family offices and proprietary investment vehicles currently leading Series A rounds in these sectors.</w:t>
      </w:r>
    </w:p>
    <w:p w14:paraId="12078ED8" w14:textId="77777777" w:rsidR="000E437D" w:rsidRDefault="000E437D" w:rsidP="000E437D">
      <w:pPr>
        <w:spacing w:before="240" w:after="240"/>
        <w:rPr>
          <w:rFonts w:ascii="Arial" w:hAnsi="Arial" w:cs="Arial"/>
          <w:sz w:val="21"/>
          <w:szCs w:val="21"/>
        </w:rPr>
      </w:pPr>
      <w:r>
        <w:pict w14:anchorId="352E68D8">
          <v:rect id="_x0000_i1067" style="width:712.8pt;height:1.5pt" o:hrpct="0" o:hralign="center" o:hrstd="t" o:hr="t" fillcolor="#a0a0a0" stroked="f"/>
        </w:pict>
      </w:r>
    </w:p>
    <w:p w14:paraId="46FFB13C" w14:textId="77777777" w:rsidR="000E437D" w:rsidRDefault="000E437D" w:rsidP="000E437D">
      <w:pPr>
        <w:pStyle w:val="Heading3"/>
        <w:shd w:val="clear" w:color="auto" w:fill="FFFFFF"/>
        <w:spacing w:before="0" w:after="0"/>
        <w:rPr>
          <w:rFonts w:ascii="Arial" w:hAnsi="Arial" w:cs="Arial"/>
          <w:color w:val="1A1C1E"/>
          <w:sz w:val="27"/>
          <w:szCs w:val="27"/>
        </w:rPr>
      </w:pPr>
      <w:r>
        <w:rPr>
          <w:rStyle w:val="ng-star-inserted1"/>
          <w:rFonts w:ascii="Arial" w:hAnsi="Arial" w:cs="Arial"/>
          <w:color w:val="1A1C1E"/>
        </w:rPr>
        <w:t>1. Market Infrastructure &amp; Exchange Specialists</w:t>
      </w:r>
    </w:p>
    <w:p w14:paraId="5A3F308C" w14:textId="77777777" w:rsidR="000E437D" w:rsidRDefault="000E437D" w:rsidP="000E437D">
      <w:pPr>
        <w:pStyle w:val="ng-star-inserted"/>
        <w:shd w:val="clear" w:color="auto" w:fill="FFFFFF"/>
        <w:spacing w:after="270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These offices focus on the "</w:t>
      </w:r>
      <w:proofErr w:type="gramStart"/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Plumbing"—</w:t>
      </w:r>
      <w:proofErr w:type="gramEnd"/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matching engines, clearinghouses, and the legal frameworks of new financial markets.</w:t>
      </w:r>
    </w:p>
    <w:p w14:paraId="45365E53" w14:textId="77777777" w:rsidR="000E437D" w:rsidRDefault="000E437D" w:rsidP="000E437D">
      <w:pPr>
        <w:pStyle w:val="ng-star-inserted"/>
        <w:numPr>
          <w:ilvl w:val="0"/>
          <w:numId w:val="24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Point72 Ventures (Steve Cohen – USA)</w:t>
      </w:r>
    </w:p>
    <w:p w14:paraId="51CD6C78" w14:textId="77777777" w:rsidR="000E437D" w:rsidRDefault="000E437D" w:rsidP="000E437D">
      <w:pPr>
        <w:pStyle w:val="ng-star-inserted"/>
        <w:numPr>
          <w:ilvl w:val="1"/>
          <w:numId w:val="24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Focus: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A leader in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Market Structure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. They lead Series A rounds for exchanges that disrupt traditional 9-to-5 trading or offer AI-driven liquidity.</w:t>
      </w:r>
    </w:p>
    <w:p w14:paraId="50C71B06" w14:textId="77777777" w:rsidR="000E437D" w:rsidRDefault="000E437D" w:rsidP="000E437D">
      <w:pPr>
        <w:pStyle w:val="ng-star-inserted"/>
        <w:numPr>
          <w:ilvl w:val="1"/>
          <w:numId w:val="24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Thesis: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Modernizing how institutional assets are matched and cleared.</w:t>
      </w:r>
    </w:p>
    <w:p w14:paraId="01649072" w14:textId="77777777" w:rsidR="000E437D" w:rsidRDefault="000E437D" w:rsidP="000E437D">
      <w:pPr>
        <w:pStyle w:val="ng-star-inserted"/>
        <w:numPr>
          <w:ilvl w:val="0"/>
          <w:numId w:val="24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Thiel Capital (Peter Thiel – USA)</w:t>
      </w:r>
    </w:p>
    <w:p w14:paraId="0A062209" w14:textId="77777777" w:rsidR="000E437D" w:rsidRDefault="000E437D" w:rsidP="000E437D">
      <w:pPr>
        <w:pStyle w:val="ng-star-inserted"/>
        <w:numPr>
          <w:ilvl w:val="1"/>
          <w:numId w:val="24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Focus: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Known for backing disruptive, non-traditional exchanges (e.g.,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Bullish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).</w:t>
      </w:r>
    </w:p>
    <w:p w14:paraId="285464BA" w14:textId="77777777" w:rsidR="000E437D" w:rsidRDefault="000E437D" w:rsidP="000E437D">
      <w:pPr>
        <w:pStyle w:val="ng-star-inserted"/>
        <w:numPr>
          <w:ilvl w:val="1"/>
          <w:numId w:val="24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Thesis: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They favor "Antifragile" platforms that bypass legacy banking infrastructure using high-speed settlement.</w:t>
      </w:r>
    </w:p>
    <w:p w14:paraId="48A8EE0D" w14:textId="77777777" w:rsidR="000E437D" w:rsidRDefault="000E437D" w:rsidP="000E437D">
      <w:pPr>
        <w:pStyle w:val="ng-star-inserted"/>
        <w:numPr>
          <w:ilvl w:val="0"/>
          <w:numId w:val="24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proofErr w:type="spellStart"/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YZi</w:t>
      </w:r>
      <w:proofErr w:type="spellEnd"/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 xml:space="preserve"> Labs (Proprietary wealth of CZ – UAE/Singapore)</w:t>
      </w:r>
    </w:p>
    <w:p w14:paraId="13C14CF1" w14:textId="77777777" w:rsidR="000E437D" w:rsidRDefault="000E437D" w:rsidP="000E437D">
      <w:pPr>
        <w:pStyle w:val="ng-star-inserted"/>
        <w:numPr>
          <w:ilvl w:val="1"/>
          <w:numId w:val="24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Focus: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One of the world’s largest pools of capital for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Next-Gen Exchanges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.</w:t>
      </w:r>
    </w:p>
    <w:p w14:paraId="79B17E08" w14:textId="77777777" w:rsidR="000E437D" w:rsidRDefault="000E437D" w:rsidP="000E437D">
      <w:pPr>
        <w:pStyle w:val="ng-star-inserted"/>
        <w:numPr>
          <w:ilvl w:val="1"/>
          <w:numId w:val="24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Thesis: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Specifically targeting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Real-World Asset (RWA) Exchanges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(tokenizing commodities, gold, and trade debt) in the UAE and Bermuda.</w:t>
      </w:r>
    </w:p>
    <w:p w14:paraId="293CF9DC" w14:textId="77777777" w:rsidR="000E437D" w:rsidRDefault="000E437D" w:rsidP="000E437D">
      <w:pPr>
        <w:pStyle w:val="ng-star-inserted"/>
        <w:numPr>
          <w:ilvl w:val="0"/>
          <w:numId w:val="24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Winklevoss Capital (Winklevoss Family – USA)</w:t>
      </w:r>
    </w:p>
    <w:p w14:paraId="234A37A1" w14:textId="77777777" w:rsidR="000E437D" w:rsidRDefault="000E437D" w:rsidP="000E437D">
      <w:pPr>
        <w:pStyle w:val="ng-star-inserted"/>
        <w:numPr>
          <w:ilvl w:val="1"/>
          <w:numId w:val="24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Focus: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Institutional-grade digital asset and carbon credit exchanges.</w:t>
      </w:r>
    </w:p>
    <w:p w14:paraId="7144D2A2" w14:textId="77777777" w:rsidR="000E437D" w:rsidRDefault="000E437D" w:rsidP="000E437D">
      <w:pPr>
        <w:pStyle w:val="ng-star-inserted"/>
        <w:numPr>
          <w:ilvl w:val="1"/>
          <w:numId w:val="24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Thesis: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Investing in the "regulated future" of trading in jurisdictions like Bermuda and Singapore.</w:t>
      </w:r>
    </w:p>
    <w:p w14:paraId="78518510" w14:textId="77777777" w:rsidR="000E437D" w:rsidRDefault="000E437D" w:rsidP="000E437D">
      <w:pPr>
        <w:spacing w:before="240" w:after="240"/>
        <w:rPr>
          <w:rFonts w:ascii="Arial" w:hAnsi="Arial" w:cs="Arial"/>
          <w:sz w:val="21"/>
          <w:szCs w:val="21"/>
        </w:rPr>
      </w:pPr>
      <w:r>
        <w:pict w14:anchorId="5078F811">
          <v:rect id="_x0000_i1068" style="width:712.8pt;height:1.5pt" o:hrpct="0" o:hralign="center" o:hrstd="t" o:hr="t" fillcolor="#a0a0a0" stroked="f"/>
        </w:pict>
      </w:r>
    </w:p>
    <w:p w14:paraId="6A6AAC86" w14:textId="77777777" w:rsidR="000E437D" w:rsidRDefault="000E437D" w:rsidP="000E437D">
      <w:pPr>
        <w:pStyle w:val="Heading3"/>
        <w:shd w:val="clear" w:color="auto" w:fill="FFFFFF"/>
        <w:spacing w:before="0" w:after="0"/>
        <w:rPr>
          <w:rFonts w:ascii="Arial" w:hAnsi="Arial" w:cs="Arial"/>
          <w:color w:val="1A1C1E"/>
          <w:sz w:val="27"/>
          <w:szCs w:val="27"/>
        </w:rPr>
      </w:pPr>
      <w:r>
        <w:rPr>
          <w:rStyle w:val="ng-star-inserted1"/>
          <w:rFonts w:ascii="Arial" w:hAnsi="Arial" w:cs="Arial"/>
          <w:color w:val="1A1C1E"/>
        </w:rPr>
        <w:t>2. The Merchant Dynasties (</w:t>
      </w:r>
      <w:proofErr w:type="spellStart"/>
      <w:r>
        <w:rPr>
          <w:rStyle w:val="ng-star-inserted1"/>
          <w:rFonts w:ascii="Arial" w:hAnsi="Arial" w:cs="Arial"/>
          <w:color w:val="1A1C1E"/>
        </w:rPr>
        <w:t>TradeTech</w:t>
      </w:r>
      <w:proofErr w:type="spellEnd"/>
      <w:r>
        <w:rPr>
          <w:rStyle w:val="ng-star-inserted1"/>
          <w:rFonts w:ascii="Arial" w:hAnsi="Arial" w:cs="Arial"/>
          <w:color w:val="1A1C1E"/>
        </w:rPr>
        <w:t xml:space="preserve"> Leaders)</w:t>
      </w:r>
    </w:p>
    <w:p w14:paraId="1969784F" w14:textId="77777777" w:rsidR="000E437D" w:rsidRDefault="000E437D" w:rsidP="000E437D">
      <w:pPr>
        <w:pStyle w:val="ng-star-inserted"/>
        <w:shd w:val="clear" w:color="auto" w:fill="FFFFFF"/>
        <w:spacing w:after="270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 xml:space="preserve">These families made their wealth in the physical movement of goods. They invest in </w:t>
      </w:r>
      <w:proofErr w:type="spellStart"/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TradeTech</w:t>
      </w:r>
      <w:proofErr w:type="spellEnd"/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 xml:space="preserve"> to solve the liquidity and documentation friction they face in their own businesses.</w:t>
      </w:r>
    </w:p>
    <w:p w14:paraId="7E392A30" w14:textId="77777777" w:rsidR="000E437D" w:rsidRDefault="000E437D" w:rsidP="000E437D">
      <w:pPr>
        <w:pStyle w:val="ng-star-inserted"/>
        <w:numPr>
          <w:ilvl w:val="0"/>
          <w:numId w:val="25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CE-Ventures (Crescent Enterprises – Jafar Family, UAE)</w:t>
      </w:r>
    </w:p>
    <w:p w14:paraId="72147C2E" w14:textId="77777777" w:rsidR="000E437D" w:rsidRDefault="000E437D" w:rsidP="000E437D">
      <w:pPr>
        <w:pStyle w:val="ng-star-inserted"/>
        <w:numPr>
          <w:ilvl w:val="1"/>
          <w:numId w:val="25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Focus: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The most influential investor in </w:t>
      </w:r>
      <w:proofErr w:type="spellStart"/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TradeTech</w:t>
      </w:r>
      <w:proofErr w:type="spellEnd"/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 xml:space="preserve"> for </w:t>
      </w:r>
      <w:proofErr w:type="gramStart"/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the Global</w:t>
      </w:r>
      <w:proofErr w:type="gramEnd"/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 xml:space="preserve"> South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.</w:t>
      </w:r>
    </w:p>
    <w:p w14:paraId="16ECDD96" w14:textId="77777777" w:rsidR="000E437D" w:rsidRDefault="000E437D" w:rsidP="000E437D">
      <w:pPr>
        <w:pStyle w:val="ng-star-inserted"/>
        <w:numPr>
          <w:ilvl w:val="1"/>
          <w:numId w:val="25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lastRenderedPageBreak/>
        <w:t>Thesis: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Backing digital freight forwarding, automated customs tech, and B2B trade platforms in India and Africa.</w:t>
      </w:r>
    </w:p>
    <w:p w14:paraId="17FD7420" w14:textId="77777777" w:rsidR="000E437D" w:rsidRDefault="000E437D" w:rsidP="000E437D">
      <w:pPr>
        <w:pStyle w:val="ng-star-inserted"/>
        <w:numPr>
          <w:ilvl w:val="0"/>
          <w:numId w:val="25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Mouro Capital (Proprietary arm of the Botín Family – UK/Spain)</w:t>
      </w:r>
    </w:p>
    <w:p w14:paraId="715C9EAD" w14:textId="77777777" w:rsidR="000E437D" w:rsidRDefault="000E437D" w:rsidP="000E437D">
      <w:pPr>
        <w:pStyle w:val="ng-star-inserted"/>
        <w:numPr>
          <w:ilvl w:val="1"/>
          <w:numId w:val="25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Focus: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The global "Gold Standard" for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Trade Finance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investing.</w:t>
      </w:r>
    </w:p>
    <w:p w14:paraId="094055C0" w14:textId="77777777" w:rsidR="000E437D" w:rsidRDefault="000E437D" w:rsidP="000E437D">
      <w:pPr>
        <w:pStyle w:val="ng-star-inserted"/>
        <w:numPr>
          <w:ilvl w:val="1"/>
          <w:numId w:val="25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Thesis: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Specializing in Series A factoring platforms, inventory financing, and multi-currency settlement rails.</w:t>
      </w:r>
    </w:p>
    <w:p w14:paraId="042666D1" w14:textId="77777777" w:rsidR="000E437D" w:rsidRDefault="000E437D" w:rsidP="000E437D">
      <w:pPr>
        <w:pStyle w:val="ng-star-inserted"/>
        <w:numPr>
          <w:ilvl w:val="0"/>
          <w:numId w:val="25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JIMCO (Jameel Investment Management – Saudi Arabia)</w:t>
      </w:r>
    </w:p>
    <w:p w14:paraId="50431F04" w14:textId="77777777" w:rsidR="000E437D" w:rsidRDefault="000E437D" w:rsidP="000E437D">
      <w:pPr>
        <w:pStyle w:val="ng-star-inserted"/>
        <w:numPr>
          <w:ilvl w:val="1"/>
          <w:numId w:val="25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Focus: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Modernizing the trade "Fintech" layer for the MENA region.</w:t>
      </w:r>
    </w:p>
    <w:p w14:paraId="3A09B40C" w14:textId="77777777" w:rsidR="000E437D" w:rsidRDefault="000E437D" w:rsidP="000E437D">
      <w:pPr>
        <w:pStyle w:val="ng-star-inserted"/>
        <w:numPr>
          <w:ilvl w:val="1"/>
          <w:numId w:val="25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Thesis: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Backing startups that provide digital credit and supply chain finance in Saudi Arabia, Egypt, and Turkey.</w:t>
      </w:r>
    </w:p>
    <w:p w14:paraId="214CF0CD" w14:textId="77777777" w:rsidR="000E437D" w:rsidRDefault="000E437D" w:rsidP="000E437D">
      <w:pPr>
        <w:pStyle w:val="ng-star-inserted"/>
        <w:numPr>
          <w:ilvl w:val="0"/>
          <w:numId w:val="25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Kanoo Ventures (Kanoo Family – Bahrain/UAE)</w:t>
      </w:r>
    </w:p>
    <w:p w14:paraId="1FBEA40B" w14:textId="77777777" w:rsidR="000E437D" w:rsidRDefault="000E437D" w:rsidP="000E437D">
      <w:pPr>
        <w:pStyle w:val="ng-star-inserted"/>
        <w:numPr>
          <w:ilvl w:val="1"/>
          <w:numId w:val="25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Focus: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Leveraging a 130-year shipping pedigree.</w:t>
      </w:r>
    </w:p>
    <w:p w14:paraId="6FA7FCFB" w14:textId="77777777" w:rsidR="000E437D" w:rsidRDefault="000E437D" w:rsidP="000E437D">
      <w:pPr>
        <w:pStyle w:val="ng-star-inserted"/>
        <w:numPr>
          <w:ilvl w:val="1"/>
          <w:numId w:val="25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Thesis: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 xml:space="preserve"> Investing in maritime </w:t>
      </w:r>
      <w:proofErr w:type="spellStart"/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TradeTech</w:t>
      </w:r>
      <w:proofErr w:type="spellEnd"/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, port automation, and digital Bill of Lading (MLETR) solutions.</w:t>
      </w:r>
    </w:p>
    <w:p w14:paraId="1AA111DC" w14:textId="77777777" w:rsidR="000E437D" w:rsidRDefault="000E437D" w:rsidP="000E437D">
      <w:pPr>
        <w:spacing w:before="240" w:after="240"/>
        <w:rPr>
          <w:rFonts w:ascii="Arial" w:hAnsi="Arial" w:cs="Arial"/>
          <w:sz w:val="21"/>
          <w:szCs w:val="21"/>
        </w:rPr>
      </w:pPr>
      <w:r>
        <w:pict w14:anchorId="4BD17699">
          <v:rect id="_x0000_i1069" style="width:712.8pt;height:1.5pt" o:hrpct="0" o:hralign="center" o:hrstd="t" o:hr="t" fillcolor="#a0a0a0" stroked="f"/>
        </w:pict>
      </w:r>
    </w:p>
    <w:p w14:paraId="3036F552" w14:textId="77777777" w:rsidR="000E437D" w:rsidRDefault="000E437D" w:rsidP="000E437D">
      <w:pPr>
        <w:pStyle w:val="Heading3"/>
        <w:shd w:val="clear" w:color="auto" w:fill="FFFFFF"/>
        <w:spacing w:before="0" w:after="0"/>
        <w:rPr>
          <w:rFonts w:ascii="Arial" w:hAnsi="Arial" w:cs="Arial"/>
          <w:color w:val="1A1C1E"/>
          <w:sz w:val="27"/>
          <w:szCs w:val="27"/>
        </w:rPr>
      </w:pPr>
      <w:r>
        <w:rPr>
          <w:rStyle w:val="ng-star-inserted1"/>
          <w:rFonts w:ascii="Arial" w:hAnsi="Arial" w:cs="Arial"/>
          <w:color w:val="1A1C1E"/>
        </w:rPr>
        <w:t>3. Supply Chain &amp; Logistics Specialists</w:t>
      </w:r>
    </w:p>
    <w:p w14:paraId="476E20CE" w14:textId="77777777" w:rsidR="000E437D" w:rsidRDefault="000E437D" w:rsidP="000E437D">
      <w:pPr>
        <w:pStyle w:val="ng-star-inserted"/>
        <w:shd w:val="clear" w:color="auto" w:fill="FFFFFF"/>
        <w:spacing w:after="270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These offices focus on the "Efficiency" of trade—making sure goods move without friction across borders.</w:t>
      </w:r>
    </w:p>
    <w:p w14:paraId="66ED6CC1" w14:textId="77777777" w:rsidR="000E437D" w:rsidRDefault="000E437D" w:rsidP="000E437D">
      <w:pPr>
        <w:pStyle w:val="ng-star-inserted"/>
        <w:numPr>
          <w:ilvl w:val="0"/>
          <w:numId w:val="26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Horizons Ventures (Li Ka-shing Family – Hong Kong)</w:t>
      </w:r>
    </w:p>
    <w:p w14:paraId="3D7213DC" w14:textId="77777777" w:rsidR="000E437D" w:rsidRDefault="000E437D" w:rsidP="000E437D">
      <w:pPr>
        <w:pStyle w:val="ng-star-inserted"/>
        <w:numPr>
          <w:ilvl w:val="1"/>
          <w:numId w:val="26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Focus: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Extremely strategic; they own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Hutchison Ports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.</w:t>
      </w:r>
    </w:p>
    <w:p w14:paraId="5C70C067" w14:textId="77777777" w:rsidR="000E437D" w:rsidRDefault="000E437D" w:rsidP="000E437D">
      <w:pPr>
        <w:pStyle w:val="ng-star-inserted"/>
        <w:numPr>
          <w:ilvl w:val="1"/>
          <w:numId w:val="26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Thesis: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Investing in AI-driven procurement, blockchain-based trade settlement, and any technology that increases port throughput.</w:t>
      </w:r>
    </w:p>
    <w:p w14:paraId="6C921551" w14:textId="77777777" w:rsidR="000E437D" w:rsidRDefault="000E437D" w:rsidP="000E437D">
      <w:pPr>
        <w:pStyle w:val="ng-star-inserted"/>
        <w:numPr>
          <w:ilvl w:val="0"/>
          <w:numId w:val="26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proofErr w:type="spellStart"/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Creadev</w:t>
      </w:r>
      <w:proofErr w:type="spellEnd"/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 xml:space="preserve"> (Mulliez Family – France)</w:t>
      </w:r>
    </w:p>
    <w:p w14:paraId="3B48C5D4" w14:textId="77777777" w:rsidR="000E437D" w:rsidRDefault="000E437D" w:rsidP="000E437D">
      <w:pPr>
        <w:pStyle w:val="ng-star-inserted"/>
        <w:numPr>
          <w:ilvl w:val="1"/>
          <w:numId w:val="26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Focus: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Long-term, "Evergreen" capital for supply chain resilience.</w:t>
      </w:r>
    </w:p>
    <w:p w14:paraId="71DA242A" w14:textId="77777777" w:rsidR="000E437D" w:rsidRDefault="000E437D" w:rsidP="000E437D">
      <w:pPr>
        <w:pStyle w:val="ng-star-inserted"/>
        <w:numPr>
          <w:ilvl w:val="1"/>
          <w:numId w:val="26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Thesis: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Focusing on B2B marketplaces that include "embedded finance" for merchants in Africa and Southeast Asia.</w:t>
      </w:r>
    </w:p>
    <w:p w14:paraId="58AA4A67" w14:textId="77777777" w:rsidR="000E437D" w:rsidRDefault="000E437D" w:rsidP="000E437D">
      <w:pPr>
        <w:pStyle w:val="ng-star-inserted"/>
        <w:numPr>
          <w:ilvl w:val="0"/>
          <w:numId w:val="26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Willett Advisors (Bloomberg Wealth – USA)</w:t>
      </w:r>
    </w:p>
    <w:p w14:paraId="17F54808" w14:textId="77777777" w:rsidR="000E437D" w:rsidRDefault="000E437D" w:rsidP="000E437D">
      <w:pPr>
        <w:pStyle w:val="ng-star-inserted"/>
        <w:numPr>
          <w:ilvl w:val="1"/>
          <w:numId w:val="26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Focus: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Data and Supply Chain Visibility.</w:t>
      </w:r>
    </w:p>
    <w:p w14:paraId="37D922FD" w14:textId="77777777" w:rsidR="000E437D" w:rsidRDefault="000E437D" w:rsidP="000E437D">
      <w:pPr>
        <w:pStyle w:val="ng-star-inserted"/>
        <w:numPr>
          <w:ilvl w:val="1"/>
          <w:numId w:val="26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Thesis: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Investing in platforms that provide real-time visibility and AI prediction for global trade disruptions.</w:t>
      </w:r>
    </w:p>
    <w:p w14:paraId="202013B6" w14:textId="77777777" w:rsidR="000E437D" w:rsidRDefault="000E437D" w:rsidP="000E437D">
      <w:pPr>
        <w:spacing w:before="240" w:after="240"/>
        <w:rPr>
          <w:rFonts w:ascii="Arial" w:hAnsi="Arial" w:cs="Arial"/>
          <w:sz w:val="21"/>
          <w:szCs w:val="21"/>
        </w:rPr>
      </w:pPr>
      <w:r>
        <w:pict w14:anchorId="3DBF9DEE">
          <v:rect id="_x0000_i1070" style="width:712.8pt;height:1.5pt" o:hrpct="0" o:hralign="center" o:hrstd="t" o:hr="t" fillcolor="#a0a0a0" stroked="f"/>
        </w:pict>
      </w:r>
    </w:p>
    <w:p w14:paraId="09A0F1C1" w14:textId="77777777" w:rsidR="000E437D" w:rsidRDefault="000E437D" w:rsidP="000E437D">
      <w:pPr>
        <w:pStyle w:val="Heading3"/>
        <w:shd w:val="clear" w:color="auto" w:fill="FFFFFF"/>
        <w:spacing w:before="0" w:after="0"/>
        <w:rPr>
          <w:rFonts w:ascii="Arial" w:hAnsi="Arial" w:cs="Arial"/>
          <w:color w:val="1A1C1E"/>
          <w:sz w:val="27"/>
          <w:szCs w:val="27"/>
        </w:rPr>
      </w:pPr>
      <w:r>
        <w:rPr>
          <w:rStyle w:val="ng-star-inserted1"/>
          <w:rFonts w:ascii="Arial" w:hAnsi="Arial" w:cs="Arial"/>
          <w:color w:val="1A1C1E"/>
        </w:rPr>
        <w:t>Why these Investors are targeted for Series A (2026 Context)</w:t>
      </w:r>
    </w:p>
    <w:p w14:paraId="7E673B45" w14:textId="77777777" w:rsidR="000E437D" w:rsidRDefault="000E437D" w:rsidP="000E437D">
      <w:pPr>
        <w:pStyle w:val="ng-star-inserted"/>
        <w:numPr>
          <w:ilvl w:val="0"/>
          <w:numId w:val="27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Regulatory Patience: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These FOs understand that getting an </w:t>
      </w:r>
      <w:proofErr w:type="spellStart"/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Authorised</w:t>
      </w:r>
      <w:proofErr w:type="spellEnd"/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 xml:space="preserve"> Market Institution (AMI) license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in the UAE or a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DABA license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in Bermuda can take 12 months. They don't pull the plug because you aren't generating revenue in the first year.</w:t>
      </w:r>
    </w:p>
    <w:p w14:paraId="5959D52E" w14:textId="77777777" w:rsidR="000E437D" w:rsidRDefault="000E437D" w:rsidP="000E437D">
      <w:pPr>
        <w:pStyle w:val="ng-star-inserted"/>
        <w:numPr>
          <w:ilvl w:val="0"/>
          <w:numId w:val="27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lastRenderedPageBreak/>
        <w:t>The "Lighthouse" Customer: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If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Horizons Ventures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(Ports) or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Maersk Growth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(Shipping CVC, often co-invests with these families) invests, they often become your first customer, providing the transaction volume needed for a Series B.</w:t>
      </w:r>
    </w:p>
    <w:p w14:paraId="66541D26" w14:textId="77777777" w:rsidR="000E437D" w:rsidRDefault="000E437D" w:rsidP="000E437D">
      <w:pPr>
        <w:pStyle w:val="ng-star-inserted"/>
        <w:numPr>
          <w:ilvl w:val="0"/>
          <w:numId w:val="27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Netting &amp; Settlement Edge: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Families like the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Jafars (UAE)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or the </w:t>
      </w:r>
      <w:proofErr w:type="spellStart"/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Kuoks</w:t>
      </w:r>
      <w:proofErr w:type="spellEnd"/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 xml:space="preserve"> (Singapore)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have the legal and banking relationships to help a startup implement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Regional Netting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models (bypassing the US Dollar).</w:t>
      </w:r>
    </w:p>
    <w:p w14:paraId="43EF3A08" w14:textId="77777777" w:rsidR="000E437D" w:rsidRDefault="000E437D" w:rsidP="000E437D">
      <w:pPr>
        <w:spacing w:before="240" w:after="240"/>
        <w:rPr>
          <w:rFonts w:ascii="Arial" w:hAnsi="Arial" w:cs="Arial"/>
          <w:sz w:val="21"/>
          <w:szCs w:val="21"/>
        </w:rPr>
      </w:pPr>
      <w:r>
        <w:pict w14:anchorId="7B1A7ED6">
          <v:rect id="_x0000_i1071" style="width:712.8pt;height:1.5pt" o:hrpct="0" o:hralign="center" o:hrstd="t" o:hr="t" fillcolor="#a0a0a0" stroked="f"/>
        </w:pict>
      </w:r>
    </w:p>
    <w:p w14:paraId="4B922F14" w14:textId="77777777" w:rsidR="000E437D" w:rsidRDefault="000E437D" w:rsidP="000E437D">
      <w:pPr>
        <w:pStyle w:val="Heading3"/>
        <w:shd w:val="clear" w:color="auto" w:fill="FFFFFF"/>
        <w:spacing w:before="0" w:after="0"/>
        <w:rPr>
          <w:rFonts w:ascii="Arial" w:hAnsi="Arial" w:cs="Arial"/>
          <w:color w:val="1A1C1E"/>
          <w:sz w:val="27"/>
          <w:szCs w:val="27"/>
        </w:rPr>
      </w:pPr>
      <w:r>
        <w:rPr>
          <w:rStyle w:val="ng-star-inserted1"/>
          <w:rFonts w:ascii="Arial" w:hAnsi="Arial" w:cs="Arial"/>
          <w:color w:val="1A1C1E"/>
        </w:rPr>
        <w:t>Strategic "Pitch" Advice for Series A</w:t>
      </w:r>
    </w:p>
    <w:p w14:paraId="4224FADE" w14:textId="77777777" w:rsidR="000E437D" w:rsidRDefault="000E437D" w:rsidP="000E437D">
      <w:pPr>
        <w:pStyle w:val="ng-star-inserted"/>
        <w:numPr>
          <w:ilvl w:val="0"/>
          <w:numId w:val="28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For Exchanges: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Highlight your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Clearing &amp; Settlement Moat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. These investors care less about your "trading app" and more about how the trades are guaranteed and legally settled.</w:t>
      </w:r>
    </w:p>
    <w:p w14:paraId="1FB8E001" w14:textId="77777777" w:rsidR="000E437D" w:rsidRDefault="000E437D" w:rsidP="000E437D">
      <w:pPr>
        <w:pStyle w:val="ng-star-inserted"/>
        <w:numPr>
          <w:ilvl w:val="0"/>
          <w:numId w:val="28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 xml:space="preserve">For </w:t>
      </w:r>
      <w:proofErr w:type="spellStart"/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TradeTech</w:t>
      </w:r>
      <w:proofErr w:type="spellEnd"/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Highlight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MLETR Compliance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. Prove that your digital documents are legally recognized in common-law courts (UK, UAE, Singapore).</w:t>
      </w:r>
    </w:p>
    <w:p w14:paraId="12765989" w14:textId="77777777" w:rsidR="000E437D" w:rsidRDefault="000E437D" w:rsidP="000E437D">
      <w:pPr>
        <w:pStyle w:val="ng-star-inserted"/>
        <w:numPr>
          <w:ilvl w:val="0"/>
          <w:numId w:val="28"/>
        </w:numPr>
        <w:shd w:val="clear" w:color="auto" w:fill="FFFFFF"/>
        <w:spacing w:before="0" w:beforeAutospacing="0" w:after="45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For LMIC Focus: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 Show </w:t>
      </w: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US Dollar Independence</w:t>
      </w:r>
      <w:r>
        <w:rPr>
          <w:rStyle w:val="ng-star-inserted1"/>
          <w:rFonts w:ascii="Arial" w:eastAsiaTheme="majorEastAsia" w:hAnsi="Arial" w:cs="Arial"/>
          <w:color w:val="1A1C1E"/>
          <w:sz w:val="21"/>
          <w:szCs w:val="21"/>
        </w:rPr>
        <w:t>. Demonstrate how your platform helps traders settle in local currencies or stablecoins, bypassing the "Correspondent Banking" trap.</w:t>
      </w:r>
    </w:p>
    <w:p w14:paraId="61094198" w14:textId="0D9D211F" w:rsidR="00A03483" w:rsidRPr="000E437D" w:rsidRDefault="000E437D" w:rsidP="000E437D">
      <w:pPr>
        <w:pStyle w:val="ng-star-inserted"/>
        <w:shd w:val="clear" w:color="auto" w:fill="FFFFFF"/>
        <w:spacing w:after="0" w:afterAutospacing="0" w:line="300" w:lineRule="atLeast"/>
        <w:rPr>
          <w:rFonts w:ascii="Arial" w:hAnsi="Arial" w:cs="Arial"/>
          <w:color w:val="1A1C1E"/>
          <w:sz w:val="21"/>
          <w:szCs w:val="21"/>
        </w:rPr>
      </w:pPr>
      <w:r>
        <w:rPr>
          <w:rStyle w:val="ng-star-inserted1"/>
          <w:rFonts w:ascii="Arial" w:eastAsiaTheme="majorEastAsia" w:hAnsi="Arial" w:cs="Arial"/>
          <w:b/>
          <w:bCs/>
          <w:color w:val="1A1C1E"/>
          <w:sz w:val="21"/>
          <w:szCs w:val="21"/>
        </w:rPr>
        <w:t>Would you like a "Target List" of specific Chief Investment Officers (CIOs) within these offices for a particular region (e.g., GCC vs. SE Asia)?</w:t>
      </w:r>
    </w:p>
    <w:sectPr w:rsidR="00A03483" w:rsidRPr="000E4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3B17"/>
    <w:multiLevelType w:val="multilevel"/>
    <w:tmpl w:val="47B4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47F57"/>
    <w:multiLevelType w:val="multilevel"/>
    <w:tmpl w:val="0FB2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84B50"/>
    <w:multiLevelType w:val="multilevel"/>
    <w:tmpl w:val="EAA6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965F2"/>
    <w:multiLevelType w:val="multilevel"/>
    <w:tmpl w:val="7F5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9B7263"/>
    <w:multiLevelType w:val="multilevel"/>
    <w:tmpl w:val="1190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63CA8"/>
    <w:multiLevelType w:val="multilevel"/>
    <w:tmpl w:val="758CF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361190"/>
    <w:multiLevelType w:val="multilevel"/>
    <w:tmpl w:val="C546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8839CA"/>
    <w:multiLevelType w:val="multilevel"/>
    <w:tmpl w:val="60BC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D4DDC"/>
    <w:multiLevelType w:val="multilevel"/>
    <w:tmpl w:val="4C40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9E335C"/>
    <w:multiLevelType w:val="multilevel"/>
    <w:tmpl w:val="25D0F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4A0010"/>
    <w:multiLevelType w:val="multilevel"/>
    <w:tmpl w:val="30E8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5D6099"/>
    <w:multiLevelType w:val="multilevel"/>
    <w:tmpl w:val="409E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75352A"/>
    <w:multiLevelType w:val="multilevel"/>
    <w:tmpl w:val="B00E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920B54"/>
    <w:multiLevelType w:val="multilevel"/>
    <w:tmpl w:val="798C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B24895"/>
    <w:multiLevelType w:val="multilevel"/>
    <w:tmpl w:val="66400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914F47"/>
    <w:multiLevelType w:val="multilevel"/>
    <w:tmpl w:val="2C10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7B229F"/>
    <w:multiLevelType w:val="multilevel"/>
    <w:tmpl w:val="CC1CD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1E201A"/>
    <w:multiLevelType w:val="multilevel"/>
    <w:tmpl w:val="612A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AD5CC7"/>
    <w:multiLevelType w:val="multilevel"/>
    <w:tmpl w:val="EFAE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226354"/>
    <w:multiLevelType w:val="multilevel"/>
    <w:tmpl w:val="AD52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465DEB"/>
    <w:multiLevelType w:val="multilevel"/>
    <w:tmpl w:val="83F0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1916D6"/>
    <w:multiLevelType w:val="multilevel"/>
    <w:tmpl w:val="6938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382B10"/>
    <w:multiLevelType w:val="multilevel"/>
    <w:tmpl w:val="7516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CB6740"/>
    <w:multiLevelType w:val="multilevel"/>
    <w:tmpl w:val="A2A8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2C038F"/>
    <w:multiLevelType w:val="multilevel"/>
    <w:tmpl w:val="8308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8A72F4"/>
    <w:multiLevelType w:val="multilevel"/>
    <w:tmpl w:val="AEE87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BC35C2"/>
    <w:multiLevelType w:val="multilevel"/>
    <w:tmpl w:val="646E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E6247"/>
    <w:multiLevelType w:val="multilevel"/>
    <w:tmpl w:val="0E00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745171">
    <w:abstractNumId w:val="26"/>
  </w:num>
  <w:num w:numId="2" w16cid:durableId="1227453666">
    <w:abstractNumId w:val="17"/>
  </w:num>
  <w:num w:numId="3" w16cid:durableId="1985967388">
    <w:abstractNumId w:val="18"/>
  </w:num>
  <w:num w:numId="4" w16cid:durableId="1688676201">
    <w:abstractNumId w:val="27"/>
  </w:num>
  <w:num w:numId="5" w16cid:durableId="1741976819">
    <w:abstractNumId w:val="7"/>
  </w:num>
  <w:num w:numId="6" w16cid:durableId="1745838542">
    <w:abstractNumId w:val="15"/>
  </w:num>
  <w:num w:numId="7" w16cid:durableId="1928683863">
    <w:abstractNumId w:val="24"/>
  </w:num>
  <w:num w:numId="8" w16cid:durableId="1956712454">
    <w:abstractNumId w:val="0"/>
  </w:num>
  <w:num w:numId="9" w16cid:durableId="1513304639">
    <w:abstractNumId w:val="21"/>
  </w:num>
  <w:num w:numId="10" w16cid:durableId="1047724358">
    <w:abstractNumId w:val="19"/>
  </w:num>
  <w:num w:numId="11" w16cid:durableId="390999622">
    <w:abstractNumId w:val="6"/>
  </w:num>
  <w:num w:numId="12" w16cid:durableId="321278714">
    <w:abstractNumId w:val="16"/>
  </w:num>
  <w:num w:numId="13" w16cid:durableId="663436376">
    <w:abstractNumId w:val="5"/>
  </w:num>
  <w:num w:numId="14" w16cid:durableId="1704669596">
    <w:abstractNumId w:val="3"/>
  </w:num>
  <w:num w:numId="15" w16cid:durableId="1088161139">
    <w:abstractNumId w:val="20"/>
  </w:num>
  <w:num w:numId="16" w16cid:durableId="1197431945">
    <w:abstractNumId w:val="10"/>
  </w:num>
  <w:num w:numId="17" w16cid:durableId="1561670394">
    <w:abstractNumId w:val="9"/>
  </w:num>
  <w:num w:numId="18" w16cid:durableId="343829416">
    <w:abstractNumId w:val="12"/>
  </w:num>
  <w:num w:numId="19" w16cid:durableId="1591308709">
    <w:abstractNumId w:val="8"/>
  </w:num>
  <w:num w:numId="20" w16cid:durableId="1862930709">
    <w:abstractNumId w:val="4"/>
  </w:num>
  <w:num w:numId="21" w16cid:durableId="811143153">
    <w:abstractNumId w:val="1"/>
  </w:num>
  <w:num w:numId="22" w16cid:durableId="1310670197">
    <w:abstractNumId w:val="14"/>
  </w:num>
  <w:num w:numId="23" w16cid:durableId="637299184">
    <w:abstractNumId w:val="22"/>
  </w:num>
  <w:num w:numId="24" w16cid:durableId="325280263">
    <w:abstractNumId w:val="13"/>
  </w:num>
  <w:num w:numId="25" w16cid:durableId="557008701">
    <w:abstractNumId w:val="23"/>
  </w:num>
  <w:num w:numId="26" w16cid:durableId="1693460998">
    <w:abstractNumId w:val="11"/>
  </w:num>
  <w:num w:numId="27" w16cid:durableId="982269892">
    <w:abstractNumId w:val="25"/>
  </w:num>
  <w:num w:numId="28" w16cid:durableId="1979605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0NLG0NDY3M7S0MLZU0lEKTi0uzszPAykwrAUACMyO/CwAAAA="/>
  </w:docVars>
  <w:rsids>
    <w:rsidRoot w:val="002A32A7"/>
    <w:rsid w:val="000E437D"/>
    <w:rsid w:val="002A32A7"/>
    <w:rsid w:val="00424970"/>
    <w:rsid w:val="005020E7"/>
    <w:rsid w:val="007C536F"/>
    <w:rsid w:val="008D7B16"/>
    <w:rsid w:val="0098613E"/>
    <w:rsid w:val="009E2DC8"/>
    <w:rsid w:val="00A03483"/>
    <w:rsid w:val="00C5577A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A1A80"/>
  <w15:chartTrackingRefBased/>
  <w15:docId w15:val="{350B0B4C-7A31-4450-BA1C-BBC813D9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36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3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3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2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2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2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2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A3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2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2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2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2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2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2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2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2A7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2A32A7"/>
    <w:pPr>
      <w:spacing w:before="100" w:beforeAutospacing="1" w:after="100" w:afterAutospacing="1"/>
    </w:pPr>
  </w:style>
  <w:style w:type="character" w:customStyle="1" w:styleId="ng-star-inserted1">
    <w:name w:val="ng-star-inserted1"/>
    <w:basedOn w:val="DefaultParagraphFont"/>
    <w:rsid w:val="002A3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2340</TotalTime>
  <Pages>3</Pages>
  <Words>678</Words>
  <Characters>4272</Characters>
  <Application>Microsoft Office Word</Application>
  <DocSecurity>0</DocSecurity>
  <Lines>76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3</cp:revision>
  <dcterms:created xsi:type="dcterms:W3CDTF">2026-01-29T02:06:00Z</dcterms:created>
  <dcterms:modified xsi:type="dcterms:W3CDTF">2026-01-30T23:17:00Z</dcterms:modified>
</cp:coreProperties>
</file>