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D34DE" w14:textId="77777777" w:rsidR="00864EFB" w:rsidRDefault="00864EFB" w:rsidP="00864EFB">
      <w:p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Based on recent reports from the </w:t>
      </w:r>
      <w:r w:rsidRPr="00864EFB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World Bank</w:t>
      </w: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, </w:t>
      </w:r>
      <w:r w:rsidRPr="00864EFB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RBI</w:t>
      </w: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, and various GCC central banks (Saudi Central Bank (SAMA), Central Bank of the UAE), the following is a breakdown of the leading remittance aggregators and operators in the GCC region as of </w:t>
      </w:r>
      <w:r w:rsidRPr="00864EFB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2024–2025</w:t>
      </w: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.</w:t>
      </w:r>
    </w:p>
    <w:p w14:paraId="73709D91" w14:textId="77777777" w:rsidR="00864EFB" w:rsidRPr="00864EFB" w:rsidRDefault="00864EFB" w:rsidP="00864EFB">
      <w:p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</w:p>
    <w:p w14:paraId="18C1F96D" w14:textId="77777777" w:rsidR="00864EFB" w:rsidRPr="00864EFB" w:rsidRDefault="00864EFB" w:rsidP="00864EFB">
      <w:pPr>
        <w:shd w:val="clear" w:color="auto" w:fill="FFFFFF"/>
        <w:spacing w:before="120" w:after="240" w:line="240" w:lineRule="auto"/>
        <w:outlineLvl w:val="2"/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</w:pPr>
      <w:r w:rsidRPr="00864EFB"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  <w:t>1. Leading GCC Remittance Aggregators &amp; Operators</w:t>
      </w:r>
    </w:p>
    <w:p w14:paraId="648A76BB" w14:textId="77777777" w:rsidR="00864EFB" w:rsidRPr="00864EFB" w:rsidRDefault="00864EFB" w:rsidP="00864EFB">
      <w:pPr>
        <w:shd w:val="clear" w:color="auto" w:fill="FFFFFF"/>
        <w:spacing w:before="100" w:beforeAutospacing="1"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In the GCC, "aggregators" typically refer to major exchange houses with extensive physical and digital networks, or fintech platforms that partner with global money transfer networks (MTOs).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0"/>
        <w:gridCol w:w="1909"/>
        <w:gridCol w:w="2348"/>
        <w:gridCol w:w="3443"/>
      </w:tblGrid>
      <w:tr w:rsidR="00864EFB" w:rsidRPr="00864EFB" w14:paraId="72ED03C3" w14:textId="77777777">
        <w:trPr>
          <w:tblCellSpacing w:w="15" w:type="dxa"/>
        </w:trPr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EF9BD40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Provider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DDE0782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Market Presence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9D2D61B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Estimated Transaction Volume (FY 2024)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86C6F0B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Notes</w:t>
            </w:r>
          </w:p>
        </w:tc>
      </w:tr>
      <w:tr w:rsidR="00864EFB" w:rsidRPr="00864EFB" w14:paraId="0109473C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9B638F8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Al Ansari Exchange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EB42F94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UAE, Kuwait, Bahrain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191FE0E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50.0 million total transactions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8CC4F40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Largest non-banking financial institution in GCC. Remittance operating income grew 12% in 2024.[</w:t>
            </w:r>
            <w:hyperlink r:id="rId5" w:tgtFrame="_blank" w:history="1">
              <w:r w:rsidRPr="00864EFB">
                <w:rPr>
                  <w:rFonts w:eastAsia="Times New Roman" w:cs="Arial"/>
                  <w:color w:val="2483E2"/>
                  <w:kern w:val="0"/>
                  <w:sz w:val="21"/>
                  <w:szCs w:val="21"/>
                  <w14:ligatures w14:val="none"/>
                </w:rPr>
                <w:t>1</w:t>
              </w:r>
            </w:hyperlink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][</w:t>
            </w:r>
            <w:hyperlink r:id="rId6" w:tgtFrame="_blank" w:history="1">
              <w:r w:rsidRPr="00864EFB">
                <w:rPr>
                  <w:rFonts w:eastAsia="Times New Roman" w:cs="Arial"/>
                  <w:color w:val="2483E2"/>
                  <w:kern w:val="0"/>
                  <w:sz w:val="21"/>
                  <w:szCs w:val="21"/>
                  <w14:ligatures w14:val="none"/>
                </w:rPr>
                <w:t>2</w:t>
              </w:r>
            </w:hyperlink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]</w:t>
            </w:r>
          </w:p>
        </w:tc>
      </w:tr>
      <w:tr w:rsidR="00864EFB" w:rsidRPr="00864EFB" w14:paraId="73631EB0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BFE7B5F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Lulu Exchange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CCFDCA7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UAE, Saudi, Kuwait, Qatar, Bahrain, Oman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D50E29C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~USD 7.3 billion</w:t>
            </w:r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 (Total group retail revenue FY 2023)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31262C0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Operates "Lulu Money" app. Second-largest market share in UAE retail (~14%).</w:t>
            </w:r>
          </w:p>
        </w:tc>
      </w:tr>
      <w:tr w:rsidR="00864EFB" w:rsidRPr="00864EFB" w14:paraId="774184A2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C9D35F5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stc</w:t>
            </w:r>
            <w:proofErr w:type="spellEnd"/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pay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62BD7AF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Saudi Arabia, Bahrain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AFE530F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Leading Digital Wallet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9C50AF0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Saudi Arabia's top fintech; 12.1% CAGR growth for KSA digital remittance market (2025–2032 forecast).</w:t>
            </w:r>
          </w:p>
        </w:tc>
      </w:tr>
      <w:tr w:rsidR="00864EFB" w:rsidRPr="00864EFB" w14:paraId="445A51C7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78A26D3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Al Mulla Exchange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A003CBF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Kuwait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6277241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Kuwait's #1 FinTech App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2572604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Ranked top 5 in GCC for digital transformation by Forbes Middle East.</w:t>
            </w:r>
          </w:p>
        </w:tc>
      </w:tr>
      <w:tr w:rsidR="00864EFB" w:rsidRPr="00864EFB" w14:paraId="10B8FADC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8000F77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Al Muzaini Exchange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55E2FB6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Kuwait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95906AC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Kuwait's Largest Network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761DF1B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Over 65 branches; dominates Kuwait-Egypt and Kuwait-India corridors.</w:t>
            </w:r>
          </w:p>
        </w:tc>
      </w:tr>
      <w:tr w:rsidR="00864EFB" w:rsidRPr="00864EFB" w14:paraId="234DA0D2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37C7A8D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Joyalukkas</w:t>
            </w:r>
            <w:proofErr w:type="spellEnd"/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Exchange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97648A3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UAE, Kuwait, Oman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9CD981D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High Volume (Retail)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F5176F6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Strong focus on South Asian corridors.</w:t>
            </w:r>
          </w:p>
        </w:tc>
      </w:tr>
      <w:tr w:rsidR="00864EFB" w:rsidRPr="00864EFB" w14:paraId="2483E809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41F7007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GCC Exchange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519B147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UAE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5B2F0FE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WebTT</w:t>
            </w:r>
            <w:proofErr w:type="spellEnd"/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Platform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CD43862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Significant player in online B2B and retail transfers.</w:t>
            </w:r>
          </w:p>
        </w:tc>
      </w:tr>
    </w:tbl>
    <w:p w14:paraId="2802CB2D" w14:textId="77777777" w:rsidR="00864EFB" w:rsidRDefault="00864EFB" w:rsidP="00864EFB">
      <w:pPr>
        <w:shd w:val="clear" w:color="auto" w:fill="FFFFFF"/>
        <w:spacing w:before="120" w:after="240" w:line="240" w:lineRule="auto"/>
        <w:outlineLvl w:val="2"/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</w:pPr>
    </w:p>
    <w:p w14:paraId="44381322" w14:textId="77777777" w:rsidR="00864EFB" w:rsidRDefault="00864EFB" w:rsidP="00864EFB">
      <w:pPr>
        <w:shd w:val="clear" w:color="auto" w:fill="FFFFFF"/>
        <w:spacing w:before="120" w:after="240" w:line="240" w:lineRule="auto"/>
        <w:outlineLvl w:val="2"/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</w:pPr>
    </w:p>
    <w:p w14:paraId="2F5741D9" w14:textId="0E393878" w:rsidR="00864EFB" w:rsidRPr="00864EFB" w:rsidRDefault="00864EFB" w:rsidP="00864EFB">
      <w:pPr>
        <w:shd w:val="clear" w:color="auto" w:fill="FFFFFF"/>
        <w:spacing w:before="120" w:after="240" w:line="240" w:lineRule="auto"/>
        <w:outlineLvl w:val="2"/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</w:pPr>
      <w:r w:rsidRPr="00864EFB"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  <w:lastRenderedPageBreak/>
        <w:t>2. Breakdown by Destination Countries (Corridor Volumes)</w:t>
      </w:r>
    </w:p>
    <w:p w14:paraId="4185E6B1" w14:textId="77777777" w:rsidR="00864EFB" w:rsidRPr="00864EFB" w:rsidRDefault="00864EFB" w:rsidP="00864EFB">
      <w:p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The GCC contributes approximately </w:t>
      </w:r>
      <w:r w:rsidRPr="00864EFB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38% of India's total remittances</w:t>
      </w: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, which reached an estimated </w:t>
      </w:r>
      <w:r w:rsidRPr="00864EFB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$129 billion in 2024</w:t>
      </w: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.</w:t>
      </w:r>
    </w:p>
    <w:p w14:paraId="48EFEB5E" w14:textId="77777777" w:rsidR="00864EFB" w:rsidRPr="00864EFB" w:rsidRDefault="00864EFB" w:rsidP="00864EFB">
      <w:p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864EFB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Data Perspective: 2024–2025 (Estimates based on World Bank &amp; RBI Q1 2025 reports)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5"/>
        <w:gridCol w:w="2482"/>
        <w:gridCol w:w="2757"/>
        <w:gridCol w:w="2046"/>
      </w:tblGrid>
      <w:tr w:rsidR="00864EFB" w:rsidRPr="00864EFB" w14:paraId="200E30CC" w14:textId="77777777">
        <w:trPr>
          <w:tblCellSpacing w:w="15" w:type="dxa"/>
        </w:trPr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7255189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Destination Country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DB5CD30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Est. Volume from GCC (USD)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28D6ACD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Primary Aggregators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647156F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Avg. Cost (Total % Fee)</w:t>
            </w:r>
          </w:p>
        </w:tc>
      </w:tr>
      <w:tr w:rsidR="00864EFB" w:rsidRPr="00864EFB" w14:paraId="03AD1DBF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B72C41F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India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CDAB413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~$49.0 Billion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D3B1C6F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 xml:space="preserve">Al Ansari, Lulu, </w:t>
            </w:r>
            <w:proofErr w:type="spellStart"/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Joyalukkas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FBEBEDD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3.8% – 4.5%</w:t>
            </w:r>
          </w:p>
        </w:tc>
      </w:tr>
      <w:tr w:rsidR="00864EFB" w:rsidRPr="00864EFB" w14:paraId="0818BA64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35AECCC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Pakistan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23B21BA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~$22.0 Billion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189D1AE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stc</w:t>
            </w:r>
            <w:proofErr w:type="spellEnd"/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 xml:space="preserve"> pay, </w:t>
            </w:r>
            <w:proofErr w:type="spellStart"/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Ersal</w:t>
            </w:r>
            <w:proofErr w:type="spellEnd"/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Tahweel</w:t>
            </w:r>
            <w:proofErr w:type="spellEnd"/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 xml:space="preserve"> Al Rajhi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F3DFCD0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4.2% – 4.9%</w:t>
            </w:r>
          </w:p>
        </w:tc>
      </w:tr>
      <w:tr w:rsidR="00864EFB" w:rsidRPr="00864EFB" w14:paraId="21A9B9CB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7B34780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Philippines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3CAC3AD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~$12.5 Billion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4C1BD4E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Al Fardan, GCC Exchange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788441C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5.1% – 5.5%</w:t>
            </w:r>
          </w:p>
        </w:tc>
      </w:tr>
      <w:tr w:rsidR="00864EFB" w:rsidRPr="00864EFB" w14:paraId="7C673A8B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7496F80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Egypt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747314E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~$9.0 Billion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13B52D4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Muzaini, Al Mulla, UAE Exchange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BE57286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4.5% – 5.2%</w:t>
            </w:r>
          </w:p>
        </w:tc>
      </w:tr>
      <w:tr w:rsidR="00864EFB" w:rsidRPr="00864EFB" w14:paraId="4440A9F6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F3DEBB9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Bangladesh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588CA30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~$8.5 Billion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BC14CD6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GCC Exchange, Lulu Money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1AD6677" w14:textId="77777777" w:rsidR="00864EFB" w:rsidRPr="00864EFB" w:rsidRDefault="00864EFB" w:rsidP="00864EFB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864EFB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4.7% – 5.1%</w:t>
            </w:r>
          </w:p>
        </w:tc>
      </w:tr>
    </w:tbl>
    <w:p w14:paraId="7FC52E2F" w14:textId="77777777" w:rsidR="00864EFB" w:rsidRPr="00864EFB" w:rsidRDefault="00864EFB" w:rsidP="00864EFB">
      <w:pPr>
        <w:shd w:val="clear" w:color="auto" w:fill="FFFFFF"/>
        <w:spacing w:before="120"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864EFB">
        <w:rPr>
          <w:rFonts w:eastAsia="Times New Roman" w:cs="Arial"/>
          <w:i/>
          <w:iCs/>
          <w:color w:val="1A1C1E"/>
          <w:kern w:val="0"/>
          <w:sz w:val="21"/>
          <w:szCs w:val="21"/>
          <w14:ligatures w14:val="none"/>
        </w:rPr>
        <w:t>Note: Individual aggregator volumes per corridor are proprietary, but UAE-to-India alone accounts for </w:t>
      </w:r>
      <w:r w:rsidRPr="00864EFB">
        <w:rPr>
          <w:rFonts w:eastAsia="Times New Roman" w:cs="Arial"/>
          <w:b/>
          <w:bCs/>
          <w:i/>
          <w:iCs/>
          <w:color w:val="1A1C1E"/>
          <w:kern w:val="0"/>
          <w:sz w:val="21"/>
          <w:szCs w:val="21"/>
          <w14:ligatures w14:val="none"/>
        </w:rPr>
        <w:t>19.2% of all remittances to India (FY 2024)</w:t>
      </w:r>
      <w:r w:rsidRPr="00864EFB">
        <w:rPr>
          <w:rFonts w:eastAsia="Times New Roman" w:cs="Arial"/>
          <w:i/>
          <w:iCs/>
          <w:color w:val="1A1C1E"/>
          <w:kern w:val="0"/>
          <w:sz w:val="21"/>
          <w:szCs w:val="21"/>
          <w14:ligatures w14:val="none"/>
        </w:rPr>
        <w:t>.</w:t>
      </w:r>
    </w:p>
    <w:p w14:paraId="23F91966" w14:textId="77777777" w:rsidR="00864EFB" w:rsidRPr="00864EFB" w:rsidRDefault="00864EFB" w:rsidP="00864EFB">
      <w:pPr>
        <w:shd w:val="clear" w:color="auto" w:fill="FFFFFF"/>
        <w:spacing w:after="240" w:line="240" w:lineRule="auto"/>
        <w:outlineLvl w:val="2"/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</w:pPr>
      <w:r w:rsidRPr="00864EFB"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  <w:t>3. Cost Analysis (GCC Corridors)</w:t>
      </w:r>
    </w:p>
    <w:p w14:paraId="2650210B" w14:textId="77777777" w:rsidR="00864EFB" w:rsidRPr="00864EFB" w:rsidRDefault="00864EFB" w:rsidP="00864EFB">
      <w:p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Costs are based on </w:t>
      </w:r>
      <w:r w:rsidRPr="00864EFB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World Bank Remittance Prices Worldwide (Issue 53, March 2025)</w:t>
      </w: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and </w:t>
      </w:r>
      <w:r w:rsidRPr="00864EFB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FX Intelligence</w:t>
      </w: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data.</w:t>
      </w:r>
    </w:p>
    <w:p w14:paraId="6B10654E" w14:textId="77777777" w:rsidR="00864EFB" w:rsidRPr="00864EFB" w:rsidRDefault="00864EFB" w:rsidP="00864EFB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864EFB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Global Average Cost (Q1 2025):</w:t>
      </w: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6.49%</w:t>
      </w:r>
    </w:p>
    <w:p w14:paraId="6F0B5805" w14:textId="77777777" w:rsidR="00864EFB" w:rsidRPr="00864EFB" w:rsidRDefault="00864EFB" w:rsidP="00864EFB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864EFB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GCC to South Asia Average:</w:t>
      </w: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4.80% (Lowest cost globally)</w:t>
      </w:r>
    </w:p>
    <w:p w14:paraId="213CAD3B" w14:textId="77777777" w:rsidR="00864EFB" w:rsidRPr="00864EFB" w:rsidRDefault="00864EFB" w:rsidP="00864EFB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864EFB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Digital vs. Cash:</w:t>
      </w: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Digital-only MTO index averaged </w:t>
      </w:r>
      <w:r w:rsidRPr="00864EFB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3.55%</w:t>
      </w: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in Q1 2025, compared to cash-based services at </w:t>
      </w:r>
      <w:r w:rsidRPr="00864EFB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6.99%</w:t>
      </w: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.</w:t>
      </w:r>
    </w:p>
    <w:p w14:paraId="2FCE7C30" w14:textId="77777777" w:rsidR="00864EFB" w:rsidRPr="00864EFB" w:rsidRDefault="00864EFB" w:rsidP="00864EFB">
      <w:p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864EFB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Aggregator-Specific Fees (2024/25 typical AED 1,000 transfer):</w:t>
      </w:r>
    </w:p>
    <w:p w14:paraId="1F7F096B" w14:textId="77777777" w:rsidR="00864EFB" w:rsidRPr="00864EFB" w:rsidRDefault="00864EFB" w:rsidP="00864EFB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864EFB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Lulu Exchange:</w:t>
      </w: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Markup of </w:t>
      </w:r>
      <w:r w:rsidRPr="00864EFB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~1.56%</w:t>
      </w: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+ Service Charge of </w:t>
      </w:r>
      <w:r w:rsidRPr="00864EFB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AED 18.00–30.00</w:t>
      </w: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.</w:t>
      </w:r>
    </w:p>
    <w:p w14:paraId="67990863" w14:textId="77777777" w:rsidR="00864EFB" w:rsidRPr="00864EFB" w:rsidRDefault="00864EFB" w:rsidP="00864EFB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864EFB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stc</w:t>
      </w:r>
      <w:proofErr w:type="spellEnd"/>
      <w:r w:rsidRPr="00864EFB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 xml:space="preserve"> pay (KSA):</w:t>
      </w: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Often offers </w:t>
      </w:r>
      <w:r w:rsidRPr="00864EFB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SAR 0.00 fees</w:t>
      </w: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for major corridors (Pakistan/India) as a loss-leader for their digital wallet ecosystem.</w:t>
      </w:r>
    </w:p>
    <w:p w14:paraId="74E3B8D8" w14:textId="77777777" w:rsidR="00864EFB" w:rsidRPr="00864EFB" w:rsidRDefault="00864EFB" w:rsidP="00864EFB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864EFB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Al Ansari:</w:t>
      </w: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Standard retail fee of </w:t>
      </w:r>
      <w:r w:rsidRPr="00864EFB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AED 15.75–25.00</w:t>
      </w: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depending on the corridor.</w:t>
      </w:r>
    </w:p>
    <w:p w14:paraId="63983D79" w14:textId="77777777" w:rsidR="00864EFB" w:rsidRPr="00864EFB" w:rsidRDefault="00864EFB" w:rsidP="00864EFB">
      <w:pPr>
        <w:shd w:val="clear" w:color="auto" w:fill="FFFFFF"/>
        <w:spacing w:after="240" w:line="240" w:lineRule="auto"/>
        <w:outlineLvl w:val="2"/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</w:pPr>
      <w:r w:rsidRPr="00864EFB"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  <w:t>4. Summary of Data Years</w:t>
      </w:r>
    </w:p>
    <w:p w14:paraId="627B2BEA" w14:textId="77777777" w:rsidR="00864EFB" w:rsidRPr="00864EFB" w:rsidRDefault="00864EFB" w:rsidP="00864EFB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864EFB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2025 Data:</w:t>
      </w: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Cost averages and Al Ansari H1 performance (March/August 2025 reports).</w:t>
      </w:r>
    </w:p>
    <w:p w14:paraId="2A508B7F" w14:textId="77777777" w:rsidR="00864EFB" w:rsidRPr="00864EFB" w:rsidRDefault="00864EFB" w:rsidP="00864EFB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864EFB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2024 Data:</w:t>
      </w: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Total transaction volumes for Al Ansari and Saudi outbound market size ($41.07B).</w:t>
      </w:r>
    </w:p>
    <w:p w14:paraId="6F0458A8" w14:textId="77777777" w:rsidR="00864EFB" w:rsidRPr="00864EFB" w:rsidRDefault="00864EFB" w:rsidP="00864EFB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864EFB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lastRenderedPageBreak/>
        <w:t>2023 Data:</w:t>
      </w: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Top recipient totals (India at $125B, Pakistan at $24B) used for long-term CAGR scaling.</w:t>
      </w:r>
    </w:p>
    <w:p w14:paraId="67F1492D" w14:textId="40EB653A" w:rsidR="00A03483" w:rsidRPr="00864EFB" w:rsidRDefault="00864EFB" w:rsidP="00864EFB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864EFB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2022 Data:</w:t>
      </w:r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UAE total outbound exchange house volume ($39.7B) used as the baseline for market share distribution.[</w:t>
      </w:r>
      <w:hyperlink r:id="rId7" w:tgtFrame="_blank" w:history="1">
        <w:r w:rsidRPr="00864EF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4</w:t>
        </w:r>
      </w:hyperlink>
      <w:r w:rsidRPr="00864EFB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]</w:t>
      </w:r>
    </w:p>
    <w:sectPr w:rsidR="00A03483" w:rsidRPr="00864E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82C3D"/>
    <w:multiLevelType w:val="multilevel"/>
    <w:tmpl w:val="6122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421647"/>
    <w:multiLevelType w:val="multilevel"/>
    <w:tmpl w:val="997E1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C03A20"/>
    <w:multiLevelType w:val="multilevel"/>
    <w:tmpl w:val="3FA86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531274">
    <w:abstractNumId w:val="0"/>
  </w:num>
  <w:num w:numId="2" w16cid:durableId="1895964468">
    <w:abstractNumId w:val="1"/>
  </w:num>
  <w:num w:numId="3" w16cid:durableId="349263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EwNbMwszQ1MDSyMDJU0lEKTi0uzszPAykwrAUAL8C9QCwAAAA="/>
  </w:docVars>
  <w:rsids>
    <w:rsidRoot w:val="00864EFB"/>
    <w:rsid w:val="005020E7"/>
    <w:rsid w:val="00864EFB"/>
    <w:rsid w:val="0098613E"/>
    <w:rsid w:val="00A03483"/>
    <w:rsid w:val="00C8103A"/>
    <w:rsid w:val="00F6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3C16E"/>
  <w15:chartTrackingRefBased/>
  <w15:docId w15:val="{E6D08FC8-1837-4E0C-8582-4AE8B907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4E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4E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4E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E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4E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4E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64E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E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4E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4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E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4E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4E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4E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4E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4E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4E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4E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4EFB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86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DefaultParagraphFont"/>
    <w:rsid w:val="00864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E&amp;q=https%3A%2F%2Fvertexaisearch.cloud.google.com%2Fgrounding-api-redirect%2FAUZIYQFPUF2uGe2buk_fFHXMmvafduxMcgVui_8WxmXQprolgCfcuF3C-7XgNFNFDmk1tXEGRUBh32E0654WxrtsnLKuj2MYShtP_G_MBSrv7NBqQkzPV8uBTSxIhpzVQgIh6wGPcx2ihU2QGPlJbPkZ_DroDrHxxTzIqpmjaBDmAaxooL_4etdUcpSPnd13-rOUcsu6iw%3D%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E&amp;q=https%3A%2F%2Fvertexaisearch.cloud.google.com%2Fgrounding-api-redirect%2FAUZIYQHEcuI1uWTXMN0XUhce5XaNgNIOrAkbWXxTR4Vqy_dwTnZCvxzpslBG5hqMZmjpiZJzOG28hZybD4UdzV1rk7WHUAslhPRy6RsBRZMVPrZJHsqsvCqpjckV6-8SeDlv4yLv6gEdsGLuQz4AIVTtm9Wokh5ADMMguDVFwBFMgjXWU_QXip-NYeNl2w%3D%3D" TargetMode="External"/><Relationship Id="rId5" Type="http://schemas.openxmlformats.org/officeDocument/2006/relationships/hyperlink" Target="https://www.google.com/url?sa=E&amp;q=https%3A%2F%2Fvertexaisearch.cloud.google.com%2Fgrounding-api-redirect%2FAUZIYQG6qyy18CxjzdbB1MeBpoF4AkptECRCfAA-WIX4tW0WWkfsS88KHiGnOkXrE4ueenA594AhKsaf5hLdIJ5gvqCsa0WCLpM-DAnvlionWUagjp6rae9TfLVbm6rjbsMAfoPPRWnMCabC4rOQW6aZKfjOjmtXJtfpRPRlARmlxfVRbVEgkWEfON1PNdpRJoaoH6ZSOMKwk3O1i9goAAFLpmJL4bLYqk07_kYwPmJVinBk-0eOrGzAqEiY3OkpB8wIVHCWYBMkb0OfQ5mNmA%3D%3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678</Words>
  <Characters>3847</Characters>
  <Application>Microsoft Office Word</Application>
  <DocSecurity>0</DocSecurity>
  <Lines>174</Lines>
  <Paragraphs>119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1</cp:revision>
  <dcterms:created xsi:type="dcterms:W3CDTF">2026-02-06T13:07:00Z</dcterms:created>
  <dcterms:modified xsi:type="dcterms:W3CDTF">2026-02-06T13:12:00Z</dcterms:modified>
</cp:coreProperties>
</file>