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A23B9" w14:textId="1D01FEDD" w:rsidR="003241FE" w:rsidRPr="005444C6" w:rsidRDefault="003241FE" w:rsidP="00B96016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5444C6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This list identifies Low- and Middle-Income Countries (LMICs) where </w:t>
      </w:r>
      <w:r w:rsidRPr="005444C6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settlement netting</w:t>
      </w:r>
      <w:r w:rsidRPr="005444C6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(the offsetting of inbound and outbound foreign exchange flows) is legally permitted.</w:t>
      </w:r>
    </w:p>
    <w:p w14:paraId="5F194254" w14:textId="77777777" w:rsidR="003241FE" w:rsidRPr="005444C6" w:rsidRDefault="003241FE" w:rsidP="00B96016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5444C6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In most of these jurisdictions, while the </w:t>
      </w:r>
      <w:r w:rsidRPr="005444C6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physical movement</w:t>
      </w:r>
      <w:r w:rsidRPr="005444C6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of money is netted, the </w:t>
      </w:r>
      <w:r w:rsidRPr="005444C6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legal reporting</w:t>
      </w:r>
      <w:r w:rsidRPr="005444C6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remains "gross." This means the entity must report the full value of both the inbound and outbound legs to the Central Bank for Balance of Payments (</w:t>
      </w:r>
      <w:proofErr w:type="spellStart"/>
      <w:r w:rsidRPr="005444C6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BoP</w:t>
      </w:r>
      <w:proofErr w:type="spellEnd"/>
      <w:r w:rsidRPr="005444C6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) statistics.</w:t>
      </w:r>
    </w:p>
    <w:p w14:paraId="03558D04" w14:textId="77777777" w:rsidR="00B96016" w:rsidRPr="005444C6" w:rsidRDefault="00B96016" w:rsidP="00B96016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</w:p>
    <w:p w14:paraId="48F9F18F" w14:textId="77777777" w:rsidR="003241FE" w:rsidRPr="005444C6" w:rsidRDefault="003241FE" w:rsidP="00B96016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  <w:r w:rsidRPr="005444C6"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  <w:t>1. Latin America (The Most Permissive Region)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1554"/>
        <w:gridCol w:w="6467"/>
      </w:tblGrid>
      <w:tr w:rsidR="003241FE" w:rsidRPr="005444C6" w14:paraId="0457B383" w14:textId="77777777">
        <w:trPr>
          <w:tblCellSpacing w:w="15" w:type="dxa"/>
        </w:trPr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7B4C8F3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Country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D8DEF7D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Netting Status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92966C0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Regulatory Caveats</w:t>
            </w:r>
          </w:p>
        </w:tc>
      </w:tr>
      <w:tr w:rsidR="003241FE" w:rsidRPr="005444C6" w14:paraId="24C33E34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38E6150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Brazil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83800CB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Allowed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7835792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Under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Law 14,286 (2021)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, netting is widely permitted for "Payment Institutions."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Entities must be licensed by the BCB and must provide "gross" data for tax and statistical purposes.</w:t>
            </w:r>
          </w:p>
        </w:tc>
      </w:tr>
      <w:tr w:rsidR="003241FE" w:rsidRPr="005444C6" w14:paraId="5173F9A8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1361346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Mexico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28E6216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Allowed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B55B0FE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Permitted for banks and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IFPEs (</w:t>
            </w:r>
            <w:proofErr w:type="spellStart"/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Fintechs</w:t>
            </w:r>
            <w:proofErr w:type="spellEnd"/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)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.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Requires strict AML/KYC compliance; corporate netting is standard, but netting against private remittances requires an IFPE license.</w:t>
            </w:r>
          </w:p>
        </w:tc>
      </w:tr>
      <w:tr w:rsidR="003241FE" w:rsidRPr="005444C6" w14:paraId="2D4D39CC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93D85C2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Colombia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8415A9C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Allowed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E3E0B87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Managed through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"Compensation Accounts" (Cuentas de </w:t>
            </w:r>
            <w:proofErr w:type="spellStart"/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Compensación</w:t>
            </w:r>
            <w:proofErr w:type="spellEnd"/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)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.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Every account must be registered with the Banco de la República; failure to report monthly movements results in heavy fines.</w:t>
            </w:r>
          </w:p>
        </w:tc>
      </w:tr>
      <w:tr w:rsidR="003241FE" w:rsidRPr="005444C6" w14:paraId="59B7791E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6AF156A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Peru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5D52FDF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Allowed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E9A1F81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One of the most liberal regimes.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While netting is allowed, "withholding tax" (WHT) on corporate outflows must be calculated on the gross amount, not the net.</w:t>
            </w:r>
          </w:p>
        </w:tc>
      </w:tr>
      <w:tr w:rsidR="003241FE" w:rsidRPr="005444C6" w14:paraId="2E8AD82F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EAE6B42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Argentina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455AA61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Conditional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5761830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Strictly controlled. Netting is currently allowed for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Export of Services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 xml:space="preserve"> against specific </w:t>
            </w:r>
            <w:proofErr w:type="gramStart"/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debts, but</w:t>
            </w:r>
            <w:proofErr w:type="gramEnd"/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 xml:space="preserve"> requires BCRA (Central Bank) validation for each instance.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Highly volatile; rules change frequently via "</w:t>
            </w:r>
            <w:proofErr w:type="spellStart"/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Comunicación</w:t>
            </w:r>
            <w:proofErr w:type="spellEnd"/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 xml:space="preserve"> A" circulars.</w:t>
            </w:r>
          </w:p>
        </w:tc>
      </w:tr>
    </w:tbl>
    <w:p w14:paraId="1F944863" w14:textId="0B1DC43E" w:rsidR="003241FE" w:rsidRPr="005444C6" w:rsidRDefault="003241FE" w:rsidP="003241FE">
      <w:pPr>
        <w:spacing w:before="240" w:after="240" w:line="240" w:lineRule="auto"/>
        <w:rPr>
          <w:rFonts w:eastAsia="Times New Roman" w:cs="Times New Roman"/>
          <w:kern w:val="0"/>
          <w14:ligatures w14:val="none"/>
        </w:rPr>
      </w:pPr>
    </w:p>
    <w:p w14:paraId="5FCBCD13" w14:textId="77777777" w:rsidR="00B96016" w:rsidRPr="005444C6" w:rsidRDefault="00B96016" w:rsidP="003241FE">
      <w:pPr>
        <w:spacing w:before="240" w:after="240" w:line="240" w:lineRule="auto"/>
        <w:rPr>
          <w:rFonts w:eastAsia="Times New Roman" w:cs="Times New Roman"/>
          <w:kern w:val="0"/>
          <w14:ligatures w14:val="none"/>
        </w:rPr>
      </w:pPr>
    </w:p>
    <w:p w14:paraId="269A329F" w14:textId="77777777" w:rsidR="00B96016" w:rsidRPr="005444C6" w:rsidRDefault="00B96016" w:rsidP="003241FE">
      <w:pPr>
        <w:spacing w:before="240" w:after="240" w:line="240" w:lineRule="auto"/>
        <w:rPr>
          <w:rFonts w:eastAsia="Times New Roman" w:cs="Times New Roman"/>
          <w:kern w:val="0"/>
          <w14:ligatures w14:val="none"/>
        </w:rPr>
      </w:pPr>
    </w:p>
    <w:p w14:paraId="5A1223CB" w14:textId="77777777" w:rsidR="00B96016" w:rsidRPr="005444C6" w:rsidRDefault="00B96016" w:rsidP="003241FE">
      <w:pPr>
        <w:spacing w:before="240" w:after="240" w:line="240" w:lineRule="auto"/>
        <w:rPr>
          <w:rFonts w:eastAsia="Times New Roman" w:cs="Times New Roman"/>
          <w:kern w:val="0"/>
          <w14:ligatures w14:val="none"/>
        </w:rPr>
      </w:pPr>
    </w:p>
    <w:p w14:paraId="205E8A75" w14:textId="77777777" w:rsidR="00B96016" w:rsidRPr="005444C6" w:rsidRDefault="00B96016" w:rsidP="003241FE">
      <w:pPr>
        <w:spacing w:before="240" w:after="240" w:line="240" w:lineRule="auto"/>
        <w:rPr>
          <w:rFonts w:eastAsia="Times New Roman" w:cs="Times New Roman"/>
          <w:kern w:val="0"/>
          <w14:ligatures w14:val="none"/>
        </w:rPr>
      </w:pPr>
    </w:p>
    <w:p w14:paraId="21819006" w14:textId="77777777" w:rsidR="00B96016" w:rsidRPr="005444C6" w:rsidRDefault="00B96016" w:rsidP="003241FE">
      <w:pPr>
        <w:spacing w:before="240" w:after="24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</w:p>
    <w:p w14:paraId="16A9B21E" w14:textId="77777777" w:rsidR="003241FE" w:rsidRPr="005444C6" w:rsidRDefault="003241FE" w:rsidP="00B96016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  <w:r w:rsidRPr="005444C6"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  <w:lastRenderedPageBreak/>
        <w:t>2. Asia-Pacific (License-Based Netting)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5"/>
        <w:gridCol w:w="1412"/>
        <w:gridCol w:w="6443"/>
      </w:tblGrid>
      <w:tr w:rsidR="003241FE" w:rsidRPr="005444C6" w14:paraId="218A3546" w14:textId="77777777">
        <w:trPr>
          <w:tblCellSpacing w:w="15" w:type="dxa"/>
        </w:trPr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722EC90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Country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1DA049C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Netting Status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3EFCCA3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Regulatory Caveats</w:t>
            </w:r>
          </w:p>
        </w:tc>
      </w:tr>
      <w:tr w:rsidR="003241FE" w:rsidRPr="005444C6" w14:paraId="1707C8AD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E2A90C6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The Philippines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200EDAC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Allowed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8AAAEFD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Regulated under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BSP Circular 1108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.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Limited to "Virtual Asset Service Providers" (VASPs) and "Electronic Money Institutions" (EMIs). Gross reporting to the BSP is mandatory.</w:t>
            </w:r>
          </w:p>
        </w:tc>
      </w:tr>
      <w:tr w:rsidR="003241FE" w:rsidRPr="005444C6" w14:paraId="45CC69C1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0AA4122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Indonesia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E91763D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Allowed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D71E789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Permitted under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PBI 23/6/2021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for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Category 1 PJP (Payment Service Providers)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.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Netting is allowed for "Position Settlement," but the provider must maintain a liquidity buffer in IDR within Indonesian banks.</w:t>
            </w:r>
          </w:p>
        </w:tc>
      </w:tr>
      <w:tr w:rsidR="003241FE" w:rsidRPr="005444C6" w14:paraId="62D8E098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E01FC09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Thailand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D2EC6D4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Allowed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68E7986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Part of the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"FX Ecosystem"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liberalization.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Only available to "Non-bank FX" license holders. Corporates can net intercompany trade, but third-party netting requires a specific license.</w:t>
            </w:r>
          </w:p>
        </w:tc>
      </w:tr>
      <w:tr w:rsidR="003241FE" w:rsidRPr="005444C6" w14:paraId="3F8FC1E4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52D1C08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India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E993F91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Restricted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8285D49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Permitted via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PA-CB (Payment Aggregator-Cross Border)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and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OPGSP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frameworks.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Transactions are capped (e.g., $10k for exports). No "informal" netting allowed; everything must flow through an AD Category-I Bank.</w:t>
            </w:r>
          </w:p>
        </w:tc>
      </w:tr>
      <w:tr w:rsidR="003241FE" w:rsidRPr="005444C6" w14:paraId="16801108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90E11C9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Malaysia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BCD0A35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Allowed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40D8A52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Governed by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BNM Foreign Exchange Policy Notice 4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.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</w:t>
            </w:r>
            <w:proofErr w:type="gramStart"/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Netting of</w:t>
            </w:r>
            <w:proofErr w:type="gramEnd"/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 xml:space="preserve"> intercompany trade is easy; netting of third-party remittances requires registration as an "Appointed Overseas Office."</w:t>
            </w:r>
          </w:p>
        </w:tc>
      </w:tr>
      <w:tr w:rsidR="003241FE" w:rsidRPr="005444C6" w14:paraId="0AA2591C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A1A1DF2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Pakistan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6FBB609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Restricted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1837167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Allowed only for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Exchange Companies (ECs)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.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The State Bank of Pakistan (SBP) monitors the "net" position daily. Corporates are generally prohibited from netting and must use gross settlement.</w:t>
            </w:r>
          </w:p>
        </w:tc>
      </w:tr>
      <w:tr w:rsidR="003241FE" w:rsidRPr="005444C6" w14:paraId="34B1409A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1412EBD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Vietnam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CAAB88B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Sandbox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C766299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Currently restricted to the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Fintech Sandbox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.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Only companies specifically admitted to the State Bank of Vietnam (SBV) pilot program can legally net cross-border flows.</w:t>
            </w:r>
          </w:p>
        </w:tc>
      </w:tr>
    </w:tbl>
    <w:p w14:paraId="0F08368E" w14:textId="2880CAAC" w:rsidR="003241FE" w:rsidRPr="005444C6" w:rsidRDefault="003241FE" w:rsidP="003241FE">
      <w:pPr>
        <w:spacing w:before="240" w:after="24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</w:p>
    <w:p w14:paraId="67A5672A" w14:textId="77777777" w:rsidR="00B96016" w:rsidRPr="005444C6" w:rsidRDefault="00B96016" w:rsidP="003241FE">
      <w:pPr>
        <w:spacing w:before="240" w:after="24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</w:p>
    <w:p w14:paraId="212F2C74" w14:textId="77777777" w:rsidR="00B96016" w:rsidRPr="005444C6" w:rsidRDefault="00B96016" w:rsidP="003241FE">
      <w:pPr>
        <w:spacing w:before="240" w:after="24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</w:p>
    <w:p w14:paraId="226AC3ED" w14:textId="77777777" w:rsidR="00B96016" w:rsidRPr="005444C6" w:rsidRDefault="00B96016" w:rsidP="003241FE">
      <w:pPr>
        <w:spacing w:before="240" w:after="24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</w:p>
    <w:p w14:paraId="49219A8F" w14:textId="77777777" w:rsidR="003241FE" w:rsidRPr="005444C6" w:rsidRDefault="003241FE" w:rsidP="00B96016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  <w:r w:rsidRPr="005444C6"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  <w:lastRenderedPageBreak/>
        <w:t>3. Sub-Saharan Africa (Evolving Hubs)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8"/>
        <w:gridCol w:w="1562"/>
        <w:gridCol w:w="6540"/>
      </w:tblGrid>
      <w:tr w:rsidR="003241FE" w:rsidRPr="005444C6" w14:paraId="07E88825" w14:textId="77777777">
        <w:trPr>
          <w:tblCellSpacing w:w="15" w:type="dxa"/>
        </w:trPr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93349E6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Country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FA6D040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Netting Status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D8FFCF8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Regulatory Caveats</w:t>
            </w:r>
          </w:p>
        </w:tc>
      </w:tr>
      <w:tr w:rsidR="003241FE" w:rsidRPr="005444C6" w14:paraId="53265B63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EBBA2F1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South Africa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F66FDE5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Allowed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D272E42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Permitted for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ADLAs (Authorized Dealers with Limited Authority)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.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Corporates require specific "Financial Surveillance" (</w:t>
            </w:r>
            <w:proofErr w:type="spellStart"/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ExCon</w:t>
            </w:r>
            <w:proofErr w:type="spellEnd"/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) approval from the SARB to net intercompany flows.</w:t>
            </w:r>
          </w:p>
        </w:tc>
      </w:tr>
      <w:tr w:rsidR="003241FE" w:rsidRPr="005444C6" w14:paraId="051FBC8A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18CD4C3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Kenya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2CAF09E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Allowed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E7DA496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Permitted for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Money Remittance Providers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.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Regulated by the Central Bank of Kenya (CBK) under the 2013 Act. The "Net" settlement is usually performed with a Tier-1 local bank.</w:t>
            </w:r>
          </w:p>
        </w:tc>
      </w:tr>
      <w:tr w:rsidR="003241FE" w:rsidRPr="005444C6" w14:paraId="30BF73EA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D90B225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Nigeria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30EF386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Evolving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FA10EBF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New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2024 CBN Guidelines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for IMTOs allow for more flexibility.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The market is currently shifting from a "Gross-only" to a "Net-settlement" model to encourage USD liquidity in the official NAFEM market.</w:t>
            </w:r>
          </w:p>
        </w:tc>
      </w:tr>
      <w:tr w:rsidR="003241FE" w:rsidRPr="005444C6" w14:paraId="03975CFD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BCEB4E2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Ghana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3FE0E45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Conditional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47625DD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Under the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Payment Systems Act (2019)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.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Requires an "Enhanced PSP License." Most netting is restricted to settlements between mobile money operators and banks.</w:t>
            </w:r>
          </w:p>
        </w:tc>
      </w:tr>
    </w:tbl>
    <w:p w14:paraId="60D7173F" w14:textId="74EB170A" w:rsidR="003241FE" w:rsidRPr="005444C6" w:rsidRDefault="003241FE" w:rsidP="00B96016">
      <w:pPr>
        <w:spacing w:after="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</w:p>
    <w:p w14:paraId="36A3B4B6" w14:textId="77777777" w:rsidR="003241FE" w:rsidRPr="005444C6" w:rsidRDefault="003241FE" w:rsidP="00B96016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  <w:r w:rsidRPr="005444C6"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  <w:t>4. Middle East, North Africa, &amp; Central Asia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0"/>
        <w:gridCol w:w="1555"/>
        <w:gridCol w:w="6285"/>
      </w:tblGrid>
      <w:tr w:rsidR="003241FE" w:rsidRPr="005444C6" w14:paraId="4584B359" w14:textId="77777777">
        <w:trPr>
          <w:tblCellSpacing w:w="15" w:type="dxa"/>
        </w:trPr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1588861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Country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C74B80B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Netting Status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4C570CA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Regulatory Caveats</w:t>
            </w:r>
          </w:p>
        </w:tc>
      </w:tr>
      <w:tr w:rsidR="003241FE" w:rsidRPr="005444C6" w14:paraId="0B0875F8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EE13F7E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Turkey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24D764C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Allowed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0C04449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Governed by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Law 6493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.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Very common for Electronic Money Institutions. However, CBRT (Central Bank) requires real-time reporting of the "nature" of each transaction within the netted pool.</w:t>
            </w:r>
          </w:p>
        </w:tc>
      </w:tr>
      <w:tr w:rsidR="003241FE" w:rsidRPr="005444C6" w14:paraId="403C427B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EA26F94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Georgia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89F5B5B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Allowed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4807CB0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Highly deregulated.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Almost no FX controls, making it a hub for netting. However, AML/KYC standards are strictly enforced to meet EU "Grey List" requirements.</w:t>
            </w:r>
          </w:p>
        </w:tc>
      </w:tr>
      <w:tr w:rsidR="003241FE" w:rsidRPr="005444C6" w14:paraId="725752ED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2CF3AA7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Kazakhstan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30A0DEE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Specialized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3C54790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Allowed primarily within the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AIFC (Astana International Financial Centre)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.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Outside the AIFC, the "National Bank of Kazakhstan" (NBK) generally requires gross reporting for all residents.</w:t>
            </w:r>
          </w:p>
        </w:tc>
      </w:tr>
      <w:tr w:rsidR="003241FE" w:rsidRPr="005444C6" w14:paraId="4B9CC991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B15326E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Armenia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73C61D5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Allowed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281E0E1" w14:textId="77777777" w:rsidR="003241FE" w:rsidRPr="005444C6" w:rsidRDefault="003241FE" w:rsidP="003241FE">
            <w:pPr>
              <w:spacing w:after="0" w:line="300" w:lineRule="atLeast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Permitted for licensed "Money Transfer Organizations." </w:t>
            </w:r>
            <w:r w:rsidRPr="005444C6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Caveat: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 xml:space="preserve"> One of the more liberal FX regimes in the </w:t>
            </w:r>
            <w:r w:rsidRPr="005444C6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lastRenderedPageBreak/>
              <w:t>Caucasus, but banks may charge high "monitoring fees" on netted transactions.</w:t>
            </w:r>
          </w:p>
        </w:tc>
      </w:tr>
    </w:tbl>
    <w:p w14:paraId="58ED9180" w14:textId="6FEBFB0E" w:rsidR="003241FE" w:rsidRPr="005444C6" w:rsidRDefault="003241FE" w:rsidP="003241FE">
      <w:pPr>
        <w:spacing w:before="240" w:after="240" w:line="240" w:lineRule="auto"/>
        <w:rPr>
          <w:rFonts w:eastAsia="Times New Roman" w:cs="Arial"/>
          <w:kern w:val="0"/>
          <w:sz w:val="21"/>
          <w:szCs w:val="21"/>
          <w14:ligatures w14:val="none"/>
        </w:rPr>
      </w:pPr>
    </w:p>
    <w:p w14:paraId="2CF3B378" w14:textId="77777777" w:rsidR="003241FE" w:rsidRPr="005444C6" w:rsidRDefault="003241FE" w:rsidP="00B96016">
      <w:pPr>
        <w:shd w:val="clear" w:color="auto" w:fill="FFFFFF"/>
        <w:spacing w:after="24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  <w:r w:rsidRPr="005444C6"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  <w:t>Critical Global Caveats for All LMICs:</w:t>
      </w:r>
    </w:p>
    <w:p w14:paraId="1C38BF83" w14:textId="77777777" w:rsidR="003241FE" w:rsidRPr="005444C6" w:rsidRDefault="003241FE" w:rsidP="00B96016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5444C6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The "Tax Trap":</w:t>
      </w:r>
      <w:r w:rsidRPr="005444C6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Tax authorities (like the NBR in Bangladesh or the RBI in India) look for </w:t>
      </w:r>
      <w:r w:rsidRPr="005444C6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Withholding Tax (WHT)</w:t>
      </w:r>
      <w:r w:rsidRPr="005444C6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. If you net a $10,000 corporate payment against $10,000 of remittances, you still owe the tax on the $10,000 "outflow," even though no money physically left the country.</w:t>
      </w:r>
    </w:p>
    <w:p w14:paraId="4817D1EA" w14:textId="77777777" w:rsidR="003241FE" w:rsidRPr="005444C6" w:rsidRDefault="003241FE" w:rsidP="00B96016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5444C6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BoP</w:t>
      </w:r>
      <w:proofErr w:type="spellEnd"/>
      <w:r w:rsidRPr="005444C6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 xml:space="preserve"> Reporting:</w:t>
      </w:r>
      <w:r w:rsidRPr="005444C6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Failure to report the </w:t>
      </w:r>
      <w:r w:rsidRPr="005444C6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Gross</w:t>
      </w:r>
      <w:r w:rsidRPr="005444C6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inbound and outbound data is often classified as "data falsification" or "illegal FX dealing," even if the netting itself is legal.</w:t>
      </w:r>
    </w:p>
    <w:p w14:paraId="54DCE93B" w14:textId="77777777" w:rsidR="003241FE" w:rsidRPr="005444C6" w:rsidRDefault="003241FE" w:rsidP="00B96016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5444C6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The "Liquidity" Rule:</w:t>
      </w:r>
      <w:r w:rsidRPr="005444C6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Many LMICs (especially Thailand and Indonesia) require that the entity performing the netting holds a certain percentage of the "netted" value in a local bank account as a </w:t>
      </w:r>
      <w:r w:rsidRPr="005444C6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Guarantee Fund</w:t>
      </w:r>
      <w:r w:rsidRPr="005444C6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to protect consumers.</w:t>
      </w:r>
    </w:p>
    <w:p w14:paraId="39EC5380" w14:textId="77777777" w:rsidR="003241FE" w:rsidRPr="005444C6" w:rsidRDefault="003241FE" w:rsidP="00B96016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proofErr w:type="gramStart"/>
      <w:r w:rsidRPr="005444C6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Sanctions Screening</w:t>
      </w:r>
      <w:proofErr w:type="gramEnd"/>
      <w:r w:rsidRPr="005444C6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5444C6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Netting does not exempt you from </w:t>
      </w:r>
      <w:r w:rsidRPr="005444C6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OFAC/UN sanctions screening</w:t>
      </w:r>
      <w:r w:rsidRPr="005444C6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. Every individual sender and receiver in the netted "pool" must still be screened against sanctions lists.</w:t>
      </w:r>
    </w:p>
    <w:p w14:paraId="2CC97073" w14:textId="77777777" w:rsidR="00B96016" w:rsidRPr="005444C6" w:rsidRDefault="00B96016" w:rsidP="00B96016">
      <w:pPr>
        <w:shd w:val="clear" w:color="auto" w:fill="FFFFFF"/>
        <w:spacing w:after="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</w:p>
    <w:p w14:paraId="3A4C31E3" w14:textId="77777777" w:rsidR="003241FE" w:rsidRPr="005444C6" w:rsidRDefault="003241FE" w:rsidP="00B96016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5444C6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Primary Sources:</w:t>
      </w:r>
    </w:p>
    <w:p w14:paraId="1822A9E2" w14:textId="77777777" w:rsidR="003241FE" w:rsidRPr="005444C6" w:rsidRDefault="003241FE" w:rsidP="00B96016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5444C6">
        <w:rPr>
          <w:rFonts w:eastAsia="Times New Roman" w:cs="Arial"/>
          <w:i/>
          <w:iCs/>
          <w:color w:val="1A1C1E"/>
          <w:kern w:val="0"/>
          <w:sz w:val="21"/>
          <w:szCs w:val="21"/>
          <w14:ligatures w14:val="none"/>
        </w:rPr>
        <w:t>IMF Annual Report on Exchange Arrangements and Exchange Restrictions (AREAER).</w:t>
      </w:r>
    </w:p>
    <w:p w14:paraId="04DC0378" w14:textId="77777777" w:rsidR="003241FE" w:rsidRPr="005444C6" w:rsidRDefault="003241FE" w:rsidP="00B96016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5444C6">
        <w:rPr>
          <w:rFonts w:eastAsia="Times New Roman" w:cs="Arial"/>
          <w:i/>
          <w:iCs/>
          <w:color w:val="1A1C1E"/>
          <w:kern w:val="0"/>
          <w:sz w:val="21"/>
          <w:szCs w:val="21"/>
          <w14:ligatures w14:val="none"/>
        </w:rPr>
        <w:t>World Bank Payment Systems Development Group (PSDG) Reports.</w:t>
      </w:r>
    </w:p>
    <w:p w14:paraId="6468A906" w14:textId="57D290EF" w:rsidR="00A03483" w:rsidRPr="005444C6" w:rsidRDefault="003241FE" w:rsidP="00B96016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5444C6">
        <w:rPr>
          <w:rFonts w:eastAsia="Times New Roman" w:cs="Arial"/>
          <w:i/>
          <w:iCs/>
          <w:color w:val="1A1C1E"/>
          <w:kern w:val="0"/>
          <w:sz w:val="21"/>
          <w:szCs w:val="21"/>
          <w14:ligatures w14:val="none"/>
        </w:rPr>
        <w:t>Central Bank FX Manuals (specific to each country listed above).</w:t>
      </w:r>
    </w:p>
    <w:sectPr w:rsidR="00A03483" w:rsidRPr="00544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A7A1B"/>
    <w:multiLevelType w:val="multilevel"/>
    <w:tmpl w:val="494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D326AC"/>
    <w:multiLevelType w:val="multilevel"/>
    <w:tmpl w:val="8A1E1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7916522">
    <w:abstractNumId w:val="1"/>
  </w:num>
  <w:num w:numId="2" w16cid:durableId="981275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E3t7A0tDC2sDA0MDNU0lEKTi0uzszPAykwrAUAhBveiiwAAAA="/>
  </w:docVars>
  <w:rsids>
    <w:rsidRoot w:val="003241FE"/>
    <w:rsid w:val="003241FE"/>
    <w:rsid w:val="005020E7"/>
    <w:rsid w:val="005444C6"/>
    <w:rsid w:val="0098613E"/>
    <w:rsid w:val="00997E9C"/>
    <w:rsid w:val="00A03483"/>
    <w:rsid w:val="00B96016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EECEB"/>
  <w15:chartTrackingRefBased/>
  <w15:docId w15:val="{967FD897-E579-40FD-BCB0-B39C7D52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4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24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1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1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1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1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1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1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1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1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1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1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1FE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324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324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877</Words>
  <Characters>5230</Characters>
  <Application>Microsoft Office Word</Application>
  <DocSecurity>0</DocSecurity>
  <Lines>170</Lines>
  <Paragraphs>87</Paragraphs>
  <ScaleCrop>false</ScaleCrop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3</cp:revision>
  <dcterms:created xsi:type="dcterms:W3CDTF">2026-02-05T15:28:00Z</dcterms:created>
  <dcterms:modified xsi:type="dcterms:W3CDTF">2026-02-05T15:45:00Z</dcterms:modified>
</cp:coreProperties>
</file>