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97BB" w14:textId="77777777" w:rsidR="008E30AF" w:rsidRPr="008E30AF" w:rsidRDefault="008E30AF" w:rsidP="008E30AF">
      <w:pPr>
        <w:shd w:val="clear" w:color="auto" w:fill="FFFFFF"/>
        <w:spacing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br/>
        <w:t xml:space="preserve">In 2026, family offices (FOs) </w:t>
      </w:r>
      <w:proofErr w:type="gramStart"/>
      <w:r w:rsidRPr="008E30AF">
        <w:rPr>
          <w:rFonts w:ascii="Arial" w:eastAsia="Times New Roman" w:hAnsi="Arial" w:cs="Arial"/>
          <w:color w:val="1A1C1E"/>
          <w:kern w:val="0"/>
          <w:sz w:val="21"/>
          <w:szCs w:val="21"/>
          <w14:ligatures w14:val="none"/>
        </w:rPr>
        <w:t>have emerged</w:t>
      </w:r>
      <w:proofErr w:type="gramEnd"/>
      <w:r w:rsidRPr="008E30AF">
        <w:rPr>
          <w:rFonts w:ascii="Arial" w:eastAsia="Times New Roman" w:hAnsi="Arial" w:cs="Arial"/>
          <w:color w:val="1A1C1E"/>
          <w:kern w:val="0"/>
          <w:sz w:val="21"/>
          <w:szCs w:val="21"/>
          <w14:ligatures w14:val="none"/>
        </w:rPr>
        <w:t xml:space="preserve"> as the "patient capital" of choice for Tradetech startups. Often originating from global merchant, shipping, or industrial dynasties, these firms possess deep domain expertise in the very supply chains they are now looking to digitize.</w:t>
      </w:r>
    </w:p>
    <w:p w14:paraId="2CC1B9CD" w14:textId="77777777" w:rsidR="008E30AF" w:rsidRPr="008E30AF" w:rsidRDefault="008E30AF" w:rsidP="008E30AF">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t>The following is a list of prominent family offices and proprietary investment vehicles currently active in </w:t>
      </w:r>
      <w:r w:rsidRPr="008E30AF">
        <w:rPr>
          <w:rFonts w:ascii="Arial" w:eastAsia="Times New Roman" w:hAnsi="Arial" w:cs="Arial"/>
          <w:b/>
          <w:bCs/>
          <w:color w:val="1A1C1E"/>
          <w:kern w:val="0"/>
          <w:sz w:val="21"/>
          <w:szCs w:val="21"/>
          <w14:ligatures w14:val="none"/>
        </w:rPr>
        <w:t>Seed or Series A</w:t>
      </w:r>
      <w:r w:rsidRPr="008E30AF">
        <w:rPr>
          <w:rFonts w:ascii="Arial" w:eastAsia="Times New Roman" w:hAnsi="Arial" w:cs="Arial"/>
          <w:color w:val="1A1C1E"/>
          <w:kern w:val="0"/>
          <w:sz w:val="21"/>
          <w:szCs w:val="21"/>
          <w14:ligatures w14:val="none"/>
        </w:rPr>
        <w:t> rounds for startups modernizing international trade and supply chain efficiency, with a specific focus on </w:t>
      </w:r>
      <w:r w:rsidRPr="008E30AF">
        <w:rPr>
          <w:rFonts w:ascii="Arial" w:eastAsia="Times New Roman" w:hAnsi="Arial" w:cs="Arial"/>
          <w:b/>
          <w:bCs/>
          <w:color w:val="1A1C1E"/>
          <w:kern w:val="0"/>
          <w:sz w:val="21"/>
          <w:szCs w:val="21"/>
          <w14:ligatures w14:val="none"/>
        </w:rPr>
        <w:t>Low- and Middle-Income Countries (LMICs)</w:t>
      </w:r>
      <w:r w:rsidRPr="008E30AF">
        <w:rPr>
          <w:rFonts w:ascii="Arial" w:eastAsia="Times New Roman" w:hAnsi="Arial" w:cs="Arial"/>
          <w:color w:val="1A1C1E"/>
          <w:kern w:val="0"/>
          <w:sz w:val="21"/>
          <w:szCs w:val="21"/>
          <w14:ligatures w14:val="none"/>
        </w:rPr>
        <w:t>.</w:t>
      </w:r>
    </w:p>
    <w:p w14:paraId="1F01B149" w14:textId="77777777" w:rsidR="008E30AF" w:rsidRPr="008E30AF" w:rsidRDefault="008E30AF"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8E30AF">
        <w:rPr>
          <w:rFonts w:ascii="Arial" w:eastAsia="Times New Roman" w:hAnsi="Arial" w:cs="Arial"/>
          <w:b/>
          <w:bCs/>
          <w:color w:val="1A1C1E"/>
          <w:kern w:val="0"/>
          <w:sz w:val="27"/>
          <w:szCs w:val="27"/>
          <w14:ligatures w14:val="none"/>
        </w:rPr>
        <w:t>1. The Merchant Dynasties (Middle East &amp; Africa)</w:t>
      </w:r>
    </w:p>
    <w:p w14:paraId="1EFAFFC2" w14:textId="77777777" w:rsidR="008E30AF" w:rsidRPr="008E30AF" w:rsidRDefault="008E30AF" w:rsidP="008E30AF">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t>These families leverage their existing logistics and banking networks to scale startups along the world's busiest trade corridors (GCC-to-Africa/Asia).</w:t>
      </w:r>
    </w:p>
    <w:p w14:paraId="1E327ED5" w14:textId="77777777" w:rsidR="008E30AF" w:rsidRPr="008E30AF" w:rsidRDefault="008E30AF" w:rsidP="008E30AF">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CE-Ventures (Crescent Enterprises - Jafar Family, UAE)</w:t>
      </w:r>
    </w:p>
    <w:p w14:paraId="1238848D"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Focuses heavily on "</w:t>
      </w:r>
      <w:proofErr w:type="spellStart"/>
      <w:r w:rsidRPr="008E30AF">
        <w:rPr>
          <w:rFonts w:ascii="Arial" w:eastAsia="Times New Roman" w:hAnsi="Arial" w:cs="Arial"/>
          <w:color w:val="1A1C1E"/>
          <w:kern w:val="0"/>
          <w:sz w:val="21"/>
          <w:szCs w:val="21"/>
          <w14:ligatures w14:val="none"/>
        </w:rPr>
        <w:t>TradeTech</w:t>
      </w:r>
      <w:proofErr w:type="spellEnd"/>
      <w:r w:rsidRPr="008E30AF">
        <w:rPr>
          <w:rFonts w:ascii="Arial" w:eastAsia="Times New Roman" w:hAnsi="Arial" w:cs="Arial"/>
          <w:color w:val="1A1C1E"/>
          <w:kern w:val="0"/>
          <w:sz w:val="21"/>
          <w:szCs w:val="21"/>
          <w14:ligatures w14:val="none"/>
        </w:rPr>
        <w:t>" to bridge the connectivity gap. They look for logistics aggregators and B2B platforms.</w:t>
      </w:r>
    </w:p>
    <w:p w14:paraId="1D41E087"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Middle East, North Africa (MENA), India, and Southeast Asia.</w:t>
      </w:r>
    </w:p>
    <w:p w14:paraId="034F6394"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Stage:</w:t>
      </w:r>
      <w:r w:rsidRPr="008E30AF">
        <w:rPr>
          <w:rFonts w:ascii="Arial" w:eastAsia="Times New Roman" w:hAnsi="Arial" w:cs="Arial"/>
          <w:color w:val="1A1C1E"/>
          <w:kern w:val="0"/>
          <w:sz w:val="21"/>
          <w:szCs w:val="21"/>
          <w14:ligatures w14:val="none"/>
        </w:rPr>
        <w:t> Actively leads Seed and Series A rounds.</w:t>
      </w:r>
    </w:p>
    <w:p w14:paraId="17ABD1A7" w14:textId="77777777" w:rsidR="008E30AF" w:rsidRPr="008E30AF" w:rsidRDefault="008E30AF" w:rsidP="008E30AF">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JIMCO (Jameel Investment Management Co. - Jameel Family, Saudi Arabia/UAE)</w:t>
      </w:r>
    </w:p>
    <w:p w14:paraId="35969F94"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One of the most professionalized family offices globally, focusing on financial inclusion and the digital "plumbing" of trade.</w:t>
      </w:r>
    </w:p>
    <w:p w14:paraId="6E74CC2D"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MENA, Turkey, and the "Global South."</w:t>
      </w:r>
    </w:p>
    <w:p w14:paraId="11C9CB45"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Portfolio Focus:</w:t>
      </w:r>
      <w:r w:rsidRPr="008E30AF">
        <w:rPr>
          <w:rFonts w:ascii="Arial" w:eastAsia="Times New Roman" w:hAnsi="Arial" w:cs="Arial"/>
          <w:color w:val="1A1C1E"/>
          <w:kern w:val="0"/>
          <w:sz w:val="21"/>
          <w:szCs w:val="21"/>
          <w14:ligatures w14:val="none"/>
        </w:rPr>
        <w:t> Supply chain finance and working capital platforms.</w:t>
      </w:r>
    </w:p>
    <w:p w14:paraId="0587BF5B" w14:textId="77777777" w:rsidR="008E30AF" w:rsidRPr="008E30AF" w:rsidRDefault="008E30AF" w:rsidP="008E30AF">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Lateral Frontiers (Proprietary capital focused on Africa)</w:t>
      </w:r>
    </w:p>
    <w:p w14:paraId="43C4BCC2"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Backs the digital infrastructure required to move goods and payments across the fragmented African market.</w:t>
      </w:r>
    </w:p>
    <w:p w14:paraId="6D8A28E1"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Sub-Saharan Africa.</w:t>
      </w:r>
    </w:p>
    <w:p w14:paraId="684F27BD" w14:textId="77777777" w:rsidR="008E30AF" w:rsidRPr="008E30AF" w:rsidRDefault="008E30AF" w:rsidP="008E30AF">
      <w:pPr>
        <w:numPr>
          <w:ilvl w:val="1"/>
          <w:numId w:val="1"/>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Stage:</w:t>
      </w:r>
      <w:r w:rsidRPr="008E30AF">
        <w:rPr>
          <w:rFonts w:ascii="Arial" w:eastAsia="Times New Roman" w:hAnsi="Arial" w:cs="Arial"/>
          <w:color w:val="1A1C1E"/>
          <w:kern w:val="0"/>
          <w:sz w:val="21"/>
          <w:szCs w:val="21"/>
          <w14:ligatures w14:val="none"/>
        </w:rPr>
        <w:t> Leading Seed/Series A rounds for B2B payment and distribution platforms.</w:t>
      </w:r>
    </w:p>
    <w:p w14:paraId="3FB45BFF" w14:textId="77777777" w:rsidR="008E30AF" w:rsidRPr="008E30AF" w:rsidRDefault="008E30AF"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8E30AF">
        <w:rPr>
          <w:rFonts w:ascii="Arial" w:eastAsia="Times New Roman" w:hAnsi="Arial" w:cs="Arial"/>
          <w:b/>
          <w:bCs/>
          <w:color w:val="1A1C1E"/>
          <w:kern w:val="0"/>
          <w:sz w:val="27"/>
          <w:szCs w:val="27"/>
          <w14:ligatures w14:val="none"/>
        </w:rPr>
        <w:t>2. The Supply Chain Hub Specialists (Asia-Pacific)</w:t>
      </w:r>
    </w:p>
    <w:p w14:paraId="053A136B" w14:textId="77777777" w:rsidR="008E30AF" w:rsidRPr="008E30AF" w:rsidRDefault="008E30AF" w:rsidP="008E30AF">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t>Focused on the "China Plus One" shift, these offices are backing startups that enable trade flows into Vietnam, Indonesia, and India.</w:t>
      </w:r>
    </w:p>
    <w:p w14:paraId="200791D1" w14:textId="77777777" w:rsidR="008E30AF" w:rsidRPr="008E30AF" w:rsidRDefault="008E30AF" w:rsidP="008E30AF">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Horizons Ventures (Li Ka-shing Family, Hong Kong)</w:t>
      </w:r>
      <w:r w:rsidRPr="008E30AF">
        <w:rPr>
          <w:rFonts w:ascii="Arial" w:eastAsia="Times New Roman" w:hAnsi="Arial" w:cs="Arial"/>
          <w:color w:val="1A1C1E"/>
          <w:kern w:val="0"/>
          <w:sz w:val="21"/>
          <w:szCs w:val="21"/>
          <w14:ligatures w14:val="none"/>
        </w:rPr>
        <w:t>[</w:t>
      </w:r>
      <w:hyperlink r:id="rId5" w:tgtFrame="_blank" w:history="1">
        <w:r w:rsidRPr="008E30AF">
          <w:rPr>
            <w:rFonts w:ascii="Arial" w:eastAsia="Times New Roman" w:hAnsi="Arial" w:cs="Arial"/>
            <w:color w:val="2483E2"/>
            <w:kern w:val="0"/>
            <w:sz w:val="21"/>
            <w:szCs w:val="21"/>
            <w14:ligatures w14:val="none"/>
          </w:rPr>
          <w:t>1</w:t>
        </w:r>
      </w:hyperlink>
      <w:r w:rsidRPr="008E30AF">
        <w:rPr>
          <w:rFonts w:ascii="Arial" w:eastAsia="Times New Roman" w:hAnsi="Arial" w:cs="Arial"/>
          <w:color w:val="1A1C1E"/>
          <w:kern w:val="0"/>
          <w:sz w:val="21"/>
          <w:szCs w:val="21"/>
          <w14:ligatures w14:val="none"/>
        </w:rPr>
        <w:t>]</w:t>
      </w:r>
    </w:p>
    <w:p w14:paraId="5D71BD44"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Backs disruptive infrastructure. While they do large deals, they also enter early for "frontier" technologies like blockchain for trade and AI-driven procurement.</w:t>
      </w:r>
    </w:p>
    <w:p w14:paraId="6F76B856"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Asia-Pacific and Latin America.</w:t>
      </w:r>
    </w:p>
    <w:p w14:paraId="388AA4E4"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Strategic Angle:</w:t>
      </w:r>
      <w:r w:rsidRPr="008E30AF">
        <w:rPr>
          <w:rFonts w:ascii="Arial" w:eastAsia="Times New Roman" w:hAnsi="Arial" w:cs="Arial"/>
          <w:color w:val="1A1C1E"/>
          <w:kern w:val="0"/>
          <w:sz w:val="21"/>
          <w:szCs w:val="21"/>
          <w14:ligatures w14:val="none"/>
        </w:rPr>
        <w:t> Direct access to one of the world's largest port networks (Hutchison Ports).</w:t>
      </w:r>
    </w:p>
    <w:p w14:paraId="39E49D2A" w14:textId="77777777" w:rsidR="008E30AF" w:rsidRPr="008E30AF" w:rsidRDefault="008E30AF" w:rsidP="008E30AF">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proofErr w:type="spellStart"/>
      <w:r w:rsidRPr="008E30AF">
        <w:rPr>
          <w:rFonts w:ascii="Arial" w:eastAsia="Times New Roman" w:hAnsi="Arial" w:cs="Arial"/>
          <w:b/>
          <w:bCs/>
          <w:color w:val="1A1C1E"/>
          <w:kern w:val="0"/>
          <w:sz w:val="21"/>
          <w:szCs w:val="21"/>
          <w14:ligatures w14:val="none"/>
        </w:rPr>
        <w:t>YZi</w:t>
      </w:r>
      <w:proofErr w:type="spellEnd"/>
      <w:r w:rsidRPr="008E30AF">
        <w:rPr>
          <w:rFonts w:ascii="Arial" w:eastAsia="Times New Roman" w:hAnsi="Arial" w:cs="Arial"/>
          <w:b/>
          <w:bCs/>
          <w:color w:val="1A1C1E"/>
          <w:kern w:val="0"/>
          <w:sz w:val="21"/>
          <w:szCs w:val="21"/>
          <w14:ligatures w14:val="none"/>
        </w:rPr>
        <w:t xml:space="preserve"> Labs (CZ Family Office, Hong Kong/Singapore/UAE)</w:t>
      </w:r>
    </w:p>
    <w:p w14:paraId="126E2209"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lastRenderedPageBreak/>
        <w:t>Thesis:</w:t>
      </w:r>
      <w:r w:rsidRPr="008E30AF">
        <w:rPr>
          <w:rFonts w:ascii="Arial" w:eastAsia="Times New Roman" w:hAnsi="Arial" w:cs="Arial"/>
          <w:color w:val="1A1C1E"/>
          <w:kern w:val="0"/>
          <w:sz w:val="21"/>
          <w:szCs w:val="21"/>
          <w14:ligatures w14:val="none"/>
        </w:rPr>
        <w:t xml:space="preserve"> Launched in 2025 to manage the wealth of Binance founder </w:t>
      </w:r>
      <w:proofErr w:type="spellStart"/>
      <w:r w:rsidRPr="008E30AF">
        <w:rPr>
          <w:rFonts w:ascii="Arial" w:eastAsia="Times New Roman" w:hAnsi="Arial" w:cs="Arial"/>
          <w:color w:val="1A1C1E"/>
          <w:kern w:val="0"/>
          <w:sz w:val="21"/>
          <w:szCs w:val="21"/>
          <w14:ligatures w14:val="none"/>
        </w:rPr>
        <w:t>Changpeng</w:t>
      </w:r>
      <w:proofErr w:type="spellEnd"/>
      <w:r w:rsidRPr="008E30AF">
        <w:rPr>
          <w:rFonts w:ascii="Arial" w:eastAsia="Times New Roman" w:hAnsi="Arial" w:cs="Arial"/>
          <w:color w:val="1A1C1E"/>
          <w:kern w:val="0"/>
          <w:sz w:val="21"/>
          <w:szCs w:val="21"/>
          <w14:ligatures w14:val="none"/>
        </w:rPr>
        <w:t xml:space="preserve"> Zhao; focuses heavily on decentralized finance (DeFi) solutions for real-world assets (RWA), including trade invoices.</w:t>
      </w:r>
    </w:p>
    <w:p w14:paraId="261C7B94"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Global LMIC corridors requiring "Nostro-less" settlement.</w:t>
      </w:r>
    </w:p>
    <w:p w14:paraId="2DBD9B1B" w14:textId="77777777" w:rsidR="008E30AF" w:rsidRPr="008E30AF" w:rsidRDefault="008E30AF" w:rsidP="008E30AF">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proofErr w:type="spellStart"/>
      <w:r w:rsidRPr="008E30AF">
        <w:rPr>
          <w:rFonts w:ascii="Arial" w:eastAsia="Times New Roman" w:hAnsi="Arial" w:cs="Arial"/>
          <w:b/>
          <w:bCs/>
          <w:color w:val="1A1C1E"/>
          <w:kern w:val="0"/>
          <w:sz w:val="21"/>
          <w:szCs w:val="21"/>
          <w14:ligatures w14:val="none"/>
        </w:rPr>
        <w:t>Venturra</w:t>
      </w:r>
      <w:proofErr w:type="spellEnd"/>
      <w:r w:rsidRPr="008E30AF">
        <w:rPr>
          <w:rFonts w:ascii="Arial" w:eastAsia="Times New Roman" w:hAnsi="Arial" w:cs="Arial"/>
          <w:b/>
          <w:bCs/>
          <w:color w:val="1A1C1E"/>
          <w:kern w:val="0"/>
          <w:sz w:val="21"/>
          <w:szCs w:val="21"/>
          <w14:ligatures w14:val="none"/>
        </w:rPr>
        <w:t xml:space="preserve"> Capital (Lippo Group - </w:t>
      </w:r>
      <w:proofErr w:type="spellStart"/>
      <w:r w:rsidRPr="008E30AF">
        <w:rPr>
          <w:rFonts w:ascii="Arial" w:eastAsia="Times New Roman" w:hAnsi="Arial" w:cs="Arial"/>
          <w:b/>
          <w:bCs/>
          <w:color w:val="1A1C1E"/>
          <w:kern w:val="0"/>
          <w:sz w:val="21"/>
          <w:szCs w:val="21"/>
          <w14:ligatures w14:val="none"/>
        </w:rPr>
        <w:t>Riady</w:t>
      </w:r>
      <w:proofErr w:type="spellEnd"/>
      <w:r w:rsidRPr="008E30AF">
        <w:rPr>
          <w:rFonts w:ascii="Arial" w:eastAsia="Times New Roman" w:hAnsi="Arial" w:cs="Arial"/>
          <w:b/>
          <w:bCs/>
          <w:color w:val="1A1C1E"/>
          <w:kern w:val="0"/>
          <w:sz w:val="21"/>
          <w:szCs w:val="21"/>
          <w14:ligatures w14:val="none"/>
        </w:rPr>
        <w:t xml:space="preserve"> Family, Indonesia)</w:t>
      </w:r>
    </w:p>
    <w:p w14:paraId="5DF43971"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Specialized in Southeast Asian B2B e-commerce and the logistics technology required for "</w:t>
      </w:r>
      <w:proofErr w:type="gramStart"/>
      <w:r w:rsidRPr="008E30AF">
        <w:rPr>
          <w:rFonts w:ascii="Arial" w:eastAsia="Times New Roman" w:hAnsi="Arial" w:cs="Arial"/>
          <w:color w:val="1A1C1E"/>
          <w:kern w:val="0"/>
          <w:sz w:val="21"/>
          <w:szCs w:val="21"/>
          <w14:ligatures w14:val="none"/>
        </w:rPr>
        <w:t>last-mile</w:t>
      </w:r>
      <w:proofErr w:type="gramEnd"/>
      <w:r w:rsidRPr="008E30AF">
        <w:rPr>
          <w:rFonts w:ascii="Arial" w:eastAsia="Times New Roman" w:hAnsi="Arial" w:cs="Arial"/>
          <w:color w:val="1A1C1E"/>
          <w:kern w:val="0"/>
          <w:sz w:val="21"/>
          <w:szCs w:val="21"/>
          <w14:ligatures w14:val="none"/>
        </w:rPr>
        <w:t>" trade in island nations.</w:t>
      </w:r>
    </w:p>
    <w:p w14:paraId="7D4C8DB2" w14:textId="77777777" w:rsidR="008E30AF" w:rsidRPr="008E30AF" w:rsidRDefault="008E30AF" w:rsidP="008E30AF">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ASEAN nations.</w:t>
      </w:r>
    </w:p>
    <w:p w14:paraId="7CE4EA35" w14:textId="77777777" w:rsidR="008E30AF" w:rsidRPr="008E30AF" w:rsidRDefault="008E30AF"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8E30AF">
        <w:rPr>
          <w:rFonts w:ascii="Arial" w:eastAsia="Times New Roman" w:hAnsi="Arial" w:cs="Arial"/>
          <w:b/>
          <w:bCs/>
          <w:color w:val="1A1C1E"/>
          <w:kern w:val="0"/>
          <w:sz w:val="27"/>
          <w:szCs w:val="27"/>
          <w14:ligatures w14:val="none"/>
        </w:rPr>
        <w:t>3. Tech-First &amp; Global Infrastructure FOs (USA &amp; Europe)</w:t>
      </w:r>
    </w:p>
    <w:p w14:paraId="74F9FFE4" w14:textId="77777777" w:rsidR="008E30AF" w:rsidRPr="008E30AF" w:rsidRDefault="008E30AF" w:rsidP="008E30AF">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t xml:space="preserve">These offices focus on the "Fintech" side of </w:t>
      </w:r>
      <w:proofErr w:type="gramStart"/>
      <w:r w:rsidRPr="008E30AF">
        <w:rPr>
          <w:rFonts w:ascii="Arial" w:eastAsia="Times New Roman" w:hAnsi="Arial" w:cs="Arial"/>
          <w:color w:val="1A1C1E"/>
          <w:kern w:val="0"/>
          <w:sz w:val="21"/>
          <w:szCs w:val="21"/>
          <w14:ligatures w14:val="none"/>
        </w:rPr>
        <w:t>trade—</w:t>
      </w:r>
      <w:proofErr w:type="gramEnd"/>
      <w:r w:rsidRPr="008E30AF">
        <w:rPr>
          <w:rFonts w:ascii="Arial" w:eastAsia="Times New Roman" w:hAnsi="Arial" w:cs="Arial"/>
          <w:color w:val="1A1C1E"/>
          <w:kern w:val="0"/>
          <w:sz w:val="21"/>
          <w:szCs w:val="21"/>
          <w14:ligatures w14:val="none"/>
        </w:rPr>
        <w:t>enabling SMEs to access global liquidity and credit.</w:t>
      </w:r>
    </w:p>
    <w:p w14:paraId="35DACBC9" w14:textId="77777777" w:rsidR="008E30AF" w:rsidRPr="008E30AF" w:rsidRDefault="008E30AF" w:rsidP="008E30AF">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Mouro Capital (Proprietary Arm for the Botín Family/Santander, UK/Spain)</w:t>
      </w:r>
    </w:p>
    <w:p w14:paraId="25C89E89"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Perhaps the most specialized investor in "Trade Finance 2.0." They back startups fractionalizing trade debt and modernizing supply chain banking.</w:t>
      </w:r>
    </w:p>
    <w:p w14:paraId="1C76B04F"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Latin America (Mexico/Brazil) and Europe-to-LMIC corridors.</w:t>
      </w:r>
    </w:p>
    <w:p w14:paraId="10568591" w14:textId="77777777" w:rsidR="008E30AF" w:rsidRPr="008E30AF" w:rsidRDefault="008E30AF" w:rsidP="008E30AF">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Point72 Ventures (Steve Cohen Family Office, USA)</w:t>
      </w:r>
    </w:p>
    <w:p w14:paraId="624ECE5C"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Has a dedicated team for the "Infrastructure" of trade, focusing on AI for automated trade settlement and digital KYC for LMIC entities.</w:t>
      </w:r>
    </w:p>
    <w:p w14:paraId="044F9297"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Stage:</w:t>
      </w:r>
      <w:r w:rsidRPr="008E30AF">
        <w:rPr>
          <w:rFonts w:ascii="Arial" w:eastAsia="Times New Roman" w:hAnsi="Arial" w:cs="Arial"/>
          <w:color w:val="1A1C1E"/>
          <w:kern w:val="0"/>
          <w:sz w:val="21"/>
          <w:szCs w:val="21"/>
          <w14:ligatures w14:val="none"/>
        </w:rPr>
        <w:t> Prolific lead investor at Seed and Series A.[</w:t>
      </w:r>
      <w:hyperlink r:id="rId6" w:tgtFrame="_blank" w:history="1">
        <w:r w:rsidRPr="008E30AF">
          <w:rPr>
            <w:rFonts w:ascii="Arial" w:eastAsia="Times New Roman" w:hAnsi="Arial" w:cs="Arial"/>
            <w:color w:val="2483E2"/>
            <w:kern w:val="0"/>
            <w:sz w:val="21"/>
            <w:szCs w:val="21"/>
            <w14:ligatures w14:val="none"/>
          </w:rPr>
          <w:t>1</w:t>
        </w:r>
      </w:hyperlink>
      <w:r w:rsidRPr="008E30AF">
        <w:rPr>
          <w:rFonts w:ascii="Arial" w:eastAsia="Times New Roman" w:hAnsi="Arial" w:cs="Arial"/>
          <w:color w:val="1A1C1E"/>
          <w:kern w:val="0"/>
          <w:sz w:val="21"/>
          <w:szCs w:val="21"/>
          <w14:ligatures w14:val="none"/>
        </w:rPr>
        <w:t>]</w:t>
      </w:r>
    </w:p>
    <w:p w14:paraId="7BB7654C" w14:textId="77777777" w:rsidR="008E30AF" w:rsidRPr="008E30AF" w:rsidRDefault="008E30AF" w:rsidP="008E30AF">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Breyer Capital (Jim Breyer, USA)</w:t>
      </w:r>
      <w:r w:rsidRPr="008E30AF">
        <w:rPr>
          <w:rFonts w:ascii="Arial" w:eastAsia="Times New Roman" w:hAnsi="Arial" w:cs="Arial"/>
          <w:color w:val="1A1C1E"/>
          <w:kern w:val="0"/>
          <w:sz w:val="21"/>
          <w:szCs w:val="21"/>
          <w14:ligatures w14:val="none"/>
        </w:rPr>
        <w:t>[</w:t>
      </w:r>
      <w:hyperlink r:id="rId7" w:tgtFrame="_blank" w:history="1">
        <w:r w:rsidRPr="008E30AF">
          <w:rPr>
            <w:rFonts w:ascii="Arial" w:eastAsia="Times New Roman" w:hAnsi="Arial" w:cs="Arial"/>
            <w:color w:val="2483E2"/>
            <w:kern w:val="0"/>
            <w:sz w:val="21"/>
            <w:szCs w:val="21"/>
            <w14:ligatures w14:val="none"/>
          </w:rPr>
          <w:t>2</w:t>
        </w:r>
      </w:hyperlink>
      <w:r w:rsidRPr="008E30AF">
        <w:rPr>
          <w:rFonts w:ascii="Arial" w:eastAsia="Times New Roman" w:hAnsi="Arial" w:cs="Arial"/>
          <w:color w:val="1A1C1E"/>
          <w:kern w:val="0"/>
          <w:sz w:val="21"/>
          <w:szCs w:val="21"/>
          <w14:ligatures w14:val="none"/>
        </w:rPr>
        <w:t>]</w:t>
      </w:r>
    </w:p>
    <w:p w14:paraId="45B60886"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Long-term mission of "Financial Inclusion." They believe tech in markets like Africa should have the same tools as the US.</w:t>
      </w:r>
    </w:p>
    <w:p w14:paraId="7371D684"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LMIC Target:</w:t>
      </w:r>
      <w:r w:rsidRPr="008E30AF">
        <w:rPr>
          <w:rFonts w:ascii="Arial" w:eastAsia="Times New Roman" w:hAnsi="Arial" w:cs="Arial"/>
          <w:color w:val="1A1C1E"/>
          <w:kern w:val="0"/>
          <w:sz w:val="21"/>
          <w:szCs w:val="21"/>
          <w14:ligatures w14:val="none"/>
        </w:rPr>
        <w:t> Africa, Southeast Asia, and China.[</w:t>
      </w:r>
      <w:hyperlink r:id="rId8" w:tgtFrame="_blank" w:history="1">
        <w:r w:rsidRPr="008E30AF">
          <w:rPr>
            <w:rFonts w:ascii="Arial" w:eastAsia="Times New Roman" w:hAnsi="Arial" w:cs="Arial"/>
            <w:color w:val="2483E2"/>
            <w:kern w:val="0"/>
            <w:sz w:val="21"/>
            <w:szCs w:val="21"/>
            <w14:ligatures w14:val="none"/>
          </w:rPr>
          <w:t>3</w:t>
        </w:r>
      </w:hyperlink>
      <w:r w:rsidRPr="008E30AF">
        <w:rPr>
          <w:rFonts w:ascii="Arial" w:eastAsia="Times New Roman" w:hAnsi="Arial" w:cs="Arial"/>
          <w:color w:val="1A1C1E"/>
          <w:kern w:val="0"/>
          <w:sz w:val="21"/>
          <w:szCs w:val="21"/>
          <w14:ligatures w14:val="none"/>
        </w:rPr>
        <w:t>]</w:t>
      </w:r>
    </w:p>
    <w:p w14:paraId="713F7DFC" w14:textId="77777777" w:rsidR="008E30AF" w:rsidRPr="008E30AF" w:rsidRDefault="008E30AF" w:rsidP="008E30AF">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proofErr w:type="spellStart"/>
      <w:r w:rsidRPr="008E30AF">
        <w:rPr>
          <w:rFonts w:ascii="Arial" w:eastAsia="Times New Roman" w:hAnsi="Arial" w:cs="Arial"/>
          <w:b/>
          <w:bCs/>
          <w:color w:val="1A1C1E"/>
          <w:kern w:val="0"/>
          <w:sz w:val="21"/>
          <w:szCs w:val="21"/>
          <w14:ligatures w14:val="none"/>
        </w:rPr>
        <w:t>Thomvest</w:t>
      </w:r>
      <w:proofErr w:type="spellEnd"/>
      <w:r w:rsidRPr="008E30AF">
        <w:rPr>
          <w:rFonts w:ascii="Arial" w:eastAsia="Times New Roman" w:hAnsi="Arial" w:cs="Arial"/>
          <w:b/>
          <w:bCs/>
          <w:color w:val="1A1C1E"/>
          <w:kern w:val="0"/>
          <w:sz w:val="21"/>
          <w:szCs w:val="21"/>
          <w14:ligatures w14:val="none"/>
        </w:rPr>
        <w:t xml:space="preserve"> (Thomson Family Office, Canada/USA)</w:t>
      </w:r>
    </w:p>
    <w:p w14:paraId="2BD12C73" w14:textId="77777777" w:rsidR="008E30AF" w:rsidRPr="008E30AF" w:rsidRDefault="008E30AF" w:rsidP="008E30AF">
      <w:pPr>
        <w:numPr>
          <w:ilvl w:val="1"/>
          <w:numId w:val="3"/>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Thesis:</w:t>
      </w:r>
      <w:r w:rsidRPr="008E30AF">
        <w:rPr>
          <w:rFonts w:ascii="Arial" w:eastAsia="Times New Roman" w:hAnsi="Arial" w:cs="Arial"/>
          <w:color w:val="1A1C1E"/>
          <w:kern w:val="0"/>
          <w:sz w:val="21"/>
          <w:szCs w:val="21"/>
          <w14:ligatures w14:val="none"/>
        </w:rPr>
        <w:t> Focuses on the "pipes" of commerce, including payments, lending infrastructure, and enterprise supply chain SaaS.</w:t>
      </w:r>
    </w:p>
    <w:p w14:paraId="12A31404" w14:textId="77777777" w:rsidR="008E30AF" w:rsidRPr="008E30AF" w:rsidRDefault="008E30AF" w:rsidP="008E30AF">
      <w:pPr>
        <w:spacing w:before="240" w:after="240" w:line="240" w:lineRule="auto"/>
        <w:rPr>
          <w:rFonts w:ascii="Arial" w:eastAsia="Times New Roman" w:hAnsi="Arial" w:cs="Arial"/>
          <w:kern w:val="0"/>
          <w:sz w:val="21"/>
          <w:szCs w:val="21"/>
          <w14:ligatures w14:val="none"/>
        </w:rPr>
      </w:pPr>
      <w:r w:rsidRPr="008E30AF">
        <w:rPr>
          <w:rFonts w:ascii="Times New Roman" w:eastAsia="Times New Roman" w:hAnsi="Times New Roman" w:cs="Times New Roman"/>
          <w:kern w:val="0"/>
          <w14:ligatures w14:val="none"/>
        </w:rPr>
        <w:pict w14:anchorId="4888E8D2">
          <v:rect id="_x0000_i1025" style="width:712.8pt;height:1.5pt" o:hrpct="0" o:hralign="center" o:hrstd="t" o:hr="t" fillcolor="#a0a0a0" stroked="f"/>
        </w:pict>
      </w:r>
    </w:p>
    <w:p w14:paraId="1543A7EF" w14:textId="77777777" w:rsidR="008E30AF" w:rsidRPr="008E30AF" w:rsidRDefault="008E30AF"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8E30AF">
        <w:rPr>
          <w:rFonts w:ascii="Arial" w:eastAsia="Times New Roman" w:hAnsi="Arial" w:cs="Arial"/>
          <w:b/>
          <w:bCs/>
          <w:color w:val="1A1C1E"/>
          <w:kern w:val="0"/>
          <w:sz w:val="27"/>
          <w:szCs w:val="27"/>
          <w14:ligatures w14:val="none"/>
        </w:rPr>
        <w:t>2026 Investment Theses: What these FOs are buying</w:t>
      </w:r>
    </w:p>
    <w:p w14:paraId="5F8E446E" w14:textId="77777777" w:rsidR="008E30AF" w:rsidRPr="008E30AF" w:rsidRDefault="008E30AF" w:rsidP="008E30AF">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8E30AF">
        <w:rPr>
          <w:rFonts w:ascii="Arial" w:eastAsia="Times New Roman" w:hAnsi="Arial" w:cs="Arial"/>
          <w:color w:val="1A1C1E"/>
          <w:kern w:val="0"/>
          <w:sz w:val="21"/>
          <w:szCs w:val="21"/>
          <w14:ligatures w14:val="none"/>
        </w:rPr>
        <w:t>When pitching these entities at the Seed or Series A stage, they are currently prioritizing four specific "pain points" in LMIC trade:</w:t>
      </w:r>
    </w:p>
    <w:p w14:paraId="6FE40A2C" w14:textId="77777777" w:rsidR="008E30AF" w:rsidRPr="008E30AF" w:rsidRDefault="008E30AF" w:rsidP="008E30AF">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"Nostro-less" Payouts:</w:t>
      </w:r>
      <w:r w:rsidRPr="008E30AF">
        <w:rPr>
          <w:rFonts w:ascii="Arial" w:eastAsia="Times New Roman" w:hAnsi="Arial" w:cs="Arial"/>
          <w:color w:val="1A1C1E"/>
          <w:kern w:val="0"/>
          <w:sz w:val="21"/>
          <w:szCs w:val="21"/>
          <w14:ligatures w14:val="none"/>
        </w:rPr>
        <w:t> Startups using stablecoins or regional netting systems (like PAPSS in Africa) to settle trade without needing expensive US dollar correspondent banks.</w:t>
      </w:r>
    </w:p>
    <w:p w14:paraId="1A672E80" w14:textId="77777777" w:rsidR="008E30AF" w:rsidRPr="008E30AF" w:rsidRDefault="008E30AF" w:rsidP="008E30AF">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Digital Bill of Lading (MLETR) Tools:</w:t>
      </w:r>
      <w:r w:rsidRPr="008E30AF">
        <w:rPr>
          <w:rFonts w:ascii="Arial" w:eastAsia="Times New Roman" w:hAnsi="Arial" w:cs="Arial"/>
          <w:color w:val="1A1C1E"/>
          <w:kern w:val="0"/>
          <w:sz w:val="21"/>
          <w:szCs w:val="21"/>
          <w14:ligatures w14:val="none"/>
        </w:rPr>
        <w:t> Software that enables the legal digitization of trade documents, allowing LMIC exporters' digital signatures to be recognized in London or Dubai.</w:t>
      </w:r>
    </w:p>
    <w:p w14:paraId="036FA95D" w14:textId="77777777" w:rsidR="008E30AF" w:rsidRPr="008E30AF" w:rsidRDefault="008E30AF" w:rsidP="008E30AF">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lastRenderedPageBreak/>
        <w:t>Inventory-as-a-Service:</w:t>
      </w:r>
      <w:r w:rsidRPr="008E30AF">
        <w:rPr>
          <w:rFonts w:ascii="Arial" w:eastAsia="Times New Roman" w:hAnsi="Arial" w:cs="Arial"/>
          <w:color w:val="1A1C1E"/>
          <w:kern w:val="0"/>
          <w:sz w:val="21"/>
          <w:szCs w:val="21"/>
          <w14:ligatures w14:val="none"/>
        </w:rPr>
        <w:t> </w:t>
      </w:r>
      <w:proofErr w:type="spellStart"/>
      <w:r w:rsidRPr="008E30AF">
        <w:rPr>
          <w:rFonts w:ascii="Arial" w:eastAsia="Times New Roman" w:hAnsi="Arial" w:cs="Arial"/>
          <w:color w:val="1A1C1E"/>
          <w:kern w:val="0"/>
          <w:sz w:val="21"/>
          <w:szCs w:val="21"/>
          <w14:ligatures w14:val="none"/>
        </w:rPr>
        <w:t>Fintechs</w:t>
      </w:r>
      <w:proofErr w:type="spellEnd"/>
      <w:r w:rsidRPr="008E30AF">
        <w:rPr>
          <w:rFonts w:ascii="Arial" w:eastAsia="Times New Roman" w:hAnsi="Arial" w:cs="Arial"/>
          <w:color w:val="1A1C1E"/>
          <w:kern w:val="0"/>
          <w:sz w:val="21"/>
          <w:szCs w:val="21"/>
          <w14:ligatures w14:val="none"/>
        </w:rPr>
        <w:t xml:space="preserve"> that provide immediate liquidity by "buying" inventory for small distributors in emerging markets.</w:t>
      </w:r>
    </w:p>
    <w:p w14:paraId="6DC1057C" w14:textId="77777777" w:rsidR="008E30AF" w:rsidRDefault="008E30AF" w:rsidP="008E30AF">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8E30AF">
        <w:rPr>
          <w:rFonts w:ascii="Arial" w:eastAsia="Times New Roman" w:hAnsi="Arial" w:cs="Arial"/>
          <w:b/>
          <w:bCs/>
          <w:color w:val="1A1C1E"/>
          <w:kern w:val="0"/>
          <w:sz w:val="21"/>
          <w:szCs w:val="21"/>
          <w14:ligatures w14:val="none"/>
        </w:rPr>
        <w:t>AI Procurement Platforms:</w:t>
      </w:r>
      <w:r w:rsidRPr="008E30AF">
        <w:rPr>
          <w:rFonts w:ascii="Arial" w:eastAsia="Times New Roman" w:hAnsi="Arial" w:cs="Arial"/>
          <w:color w:val="1A1C1E"/>
          <w:kern w:val="0"/>
          <w:sz w:val="21"/>
          <w:szCs w:val="21"/>
          <w14:ligatures w14:val="none"/>
        </w:rPr>
        <w:t> Tools like </w:t>
      </w:r>
      <w:proofErr w:type="spellStart"/>
      <w:r w:rsidRPr="008E30AF">
        <w:rPr>
          <w:rFonts w:ascii="Arial" w:eastAsia="Times New Roman" w:hAnsi="Arial" w:cs="Arial"/>
          <w:b/>
          <w:bCs/>
          <w:color w:val="1A1C1E"/>
          <w:kern w:val="0"/>
          <w:sz w:val="21"/>
          <w:szCs w:val="21"/>
          <w14:ligatures w14:val="none"/>
        </w:rPr>
        <w:t>Sourcerer</w:t>
      </w:r>
      <w:proofErr w:type="spellEnd"/>
      <w:r w:rsidRPr="008E30AF">
        <w:rPr>
          <w:rFonts w:ascii="Arial" w:eastAsia="Times New Roman" w:hAnsi="Arial" w:cs="Arial"/>
          <w:color w:val="1A1C1E"/>
          <w:kern w:val="0"/>
          <w:sz w:val="21"/>
          <w:szCs w:val="21"/>
          <w14:ligatures w14:val="none"/>
        </w:rPr>
        <w:t> or </w:t>
      </w:r>
      <w:proofErr w:type="spellStart"/>
      <w:r w:rsidRPr="008E30AF">
        <w:rPr>
          <w:rFonts w:ascii="Arial" w:eastAsia="Times New Roman" w:hAnsi="Arial" w:cs="Arial"/>
          <w:b/>
          <w:bCs/>
          <w:color w:val="1A1C1E"/>
          <w:kern w:val="0"/>
          <w:sz w:val="21"/>
          <w:szCs w:val="21"/>
          <w14:ligatures w14:val="none"/>
        </w:rPr>
        <w:t>GenLogs</w:t>
      </w:r>
      <w:proofErr w:type="spellEnd"/>
      <w:r w:rsidRPr="008E30AF">
        <w:rPr>
          <w:rFonts w:ascii="Arial" w:eastAsia="Times New Roman" w:hAnsi="Arial" w:cs="Arial"/>
          <w:color w:val="1A1C1E"/>
          <w:kern w:val="0"/>
          <w:sz w:val="21"/>
          <w:szCs w:val="21"/>
          <w14:ligatures w14:val="none"/>
        </w:rPr>
        <w:t> (recent 2025-funded examples) that automate sourcing and distribution in volatile markets.</w:t>
      </w:r>
    </w:p>
    <w:p w14:paraId="270A8CB7" w14:textId="77777777" w:rsidR="007212F8" w:rsidRPr="008E30AF" w:rsidRDefault="007212F8" w:rsidP="007212F8">
      <w:pPr>
        <w:shd w:val="clear" w:color="auto" w:fill="FFFFFF"/>
        <w:spacing w:after="45" w:line="300" w:lineRule="atLeast"/>
        <w:ind w:left="720"/>
        <w:rPr>
          <w:rFonts w:ascii="Arial" w:eastAsia="Times New Roman" w:hAnsi="Arial" w:cs="Arial"/>
          <w:color w:val="1A1C1E"/>
          <w:kern w:val="0"/>
          <w:sz w:val="21"/>
          <w:szCs w:val="21"/>
          <w14:ligatures w14:val="none"/>
        </w:rPr>
      </w:pPr>
    </w:p>
    <w:p w14:paraId="20FC68CD" w14:textId="77777777" w:rsidR="008E30AF" w:rsidRDefault="008E30AF"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8E30AF">
        <w:rPr>
          <w:rFonts w:ascii="Arial" w:eastAsia="Times New Roman" w:hAnsi="Arial" w:cs="Arial"/>
          <w:b/>
          <w:bCs/>
          <w:color w:val="1A1C1E"/>
          <w:kern w:val="0"/>
          <w:sz w:val="27"/>
          <w:szCs w:val="27"/>
          <w14:ligatures w14:val="none"/>
        </w:rPr>
        <w:t>Summary Table: Quick Targeting Guide</w:t>
      </w:r>
    </w:p>
    <w:p w14:paraId="7A8A2B08" w14:textId="77777777" w:rsidR="007212F8" w:rsidRPr="008E30AF" w:rsidRDefault="007212F8" w:rsidP="008E30AF">
      <w:pPr>
        <w:shd w:val="clear" w:color="auto" w:fill="FFFFFF"/>
        <w:spacing w:after="0" w:line="240" w:lineRule="auto"/>
        <w:outlineLvl w:val="2"/>
        <w:rPr>
          <w:rFonts w:ascii="Arial" w:eastAsia="Times New Roman" w:hAnsi="Arial" w:cs="Arial"/>
          <w:b/>
          <w:bCs/>
          <w:color w:val="1A1C1E"/>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1"/>
        <w:gridCol w:w="2223"/>
        <w:gridCol w:w="4082"/>
      </w:tblGrid>
      <w:tr w:rsidR="008E30AF" w:rsidRPr="008E30AF" w14:paraId="683073B2"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0E4D329A" w14:textId="77777777" w:rsidR="008E30AF" w:rsidRPr="008E30AF" w:rsidRDefault="008E30AF" w:rsidP="008E30AF">
            <w:pPr>
              <w:spacing w:after="0" w:line="300" w:lineRule="atLeast"/>
              <w:rPr>
                <w:rFonts w:ascii="Arial" w:eastAsia="Times New Roman" w:hAnsi="Arial" w:cs="Arial"/>
                <w:b/>
                <w:bCs/>
                <w:kern w:val="0"/>
                <w:sz w:val="21"/>
                <w:szCs w:val="21"/>
                <w14:ligatures w14:val="none"/>
              </w:rPr>
            </w:pPr>
            <w:r w:rsidRPr="008E30AF">
              <w:rPr>
                <w:rFonts w:ascii="Arial" w:eastAsia="Times New Roman" w:hAnsi="Arial" w:cs="Arial"/>
                <w:b/>
                <w:bCs/>
                <w:kern w:val="0"/>
                <w:sz w:val="21"/>
                <w:szCs w:val="21"/>
                <w14:ligatures w14:val="none"/>
              </w:rPr>
              <w:t>Family Office</w:t>
            </w:r>
          </w:p>
        </w:tc>
        <w:tc>
          <w:tcPr>
            <w:tcW w:w="0" w:type="auto"/>
            <w:tcBorders>
              <w:top w:val="nil"/>
              <w:right w:val="nil"/>
            </w:tcBorders>
            <w:tcMar>
              <w:top w:w="90" w:type="dxa"/>
              <w:left w:w="180" w:type="dxa"/>
              <w:bottom w:w="90" w:type="dxa"/>
              <w:right w:w="180" w:type="dxa"/>
            </w:tcMar>
            <w:vAlign w:val="center"/>
            <w:hideMark/>
          </w:tcPr>
          <w:p w14:paraId="429B0547" w14:textId="77777777" w:rsidR="008E30AF" w:rsidRPr="008E30AF" w:rsidRDefault="008E30AF" w:rsidP="008E30AF">
            <w:pPr>
              <w:spacing w:after="0" w:line="300" w:lineRule="atLeast"/>
              <w:rPr>
                <w:rFonts w:ascii="Arial" w:eastAsia="Times New Roman" w:hAnsi="Arial" w:cs="Arial"/>
                <w:b/>
                <w:bCs/>
                <w:kern w:val="0"/>
                <w:sz w:val="21"/>
                <w:szCs w:val="21"/>
                <w14:ligatures w14:val="none"/>
              </w:rPr>
            </w:pPr>
            <w:r w:rsidRPr="008E30AF">
              <w:rPr>
                <w:rFonts w:ascii="Arial" w:eastAsia="Times New Roman" w:hAnsi="Arial" w:cs="Arial"/>
                <w:b/>
                <w:bCs/>
                <w:kern w:val="0"/>
                <w:sz w:val="21"/>
                <w:szCs w:val="21"/>
                <w14:ligatures w14:val="none"/>
              </w:rPr>
              <w:t>Key Region</w:t>
            </w:r>
          </w:p>
        </w:tc>
        <w:tc>
          <w:tcPr>
            <w:tcW w:w="0" w:type="auto"/>
            <w:tcBorders>
              <w:top w:val="nil"/>
              <w:right w:val="nil"/>
            </w:tcBorders>
            <w:tcMar>
              <w:top w:w="90" w:type="dxa"/>
              <w:left w:w="180" w:type="dxa"/>
              <w:bottom w:w="90" w:type="dxa"/>
              <w:right w:w="180" w:type="dxa"/>
            </w:tcMar>
            <w:vAlign w:val="center"/>
            <w:hideMark/>
          </w:tcPr>
          <w:p w14:paraId="50264BA2" w14:textId="77777777" w:rsidR="008E30AF" w:rsidRPr="008E30AF" w:rsidRDefault="008E30AF" w:rsidP="008E30AF">
            <w:pPr>
              <w:spacing w:after="0" w:line="300" w:lineRule="atLeast"/>
              <w:rPr>
                <w:rFonts w:ascii="Arial" w:eastAsia="Times New Roman" w:hAnsi="Arial" w:cs="Arial"/>
                <w:b/>
                <w:bCs/>
                <w:kern w:val="0"/>
                <w:sz w:val="21"/>
                <w:szCs w:val="21"/>
                <w14:ligatures w14:val="none"/>
              </w:rPr>
            </w:pPr>
            <w:r w:rsidRPr="008E30AF">
              <w:rPr>
                <w:rFonts w:ascii="Arial" w:eastAsia="Times New Roman" w:hAnsi="Arial" w:cs="Arial"/>
                <w:b/>
                <w:bCs/>
                <w:kern w:val="0"/>
                <w:sz w:val="21"/>
                <w:szCs w:val="21"/>
                <w14:ligatures w14:val="none"/>
              </w:rPr>
              <w:t>Strategic Advantage</w:t>
            </w:r>
          </w:p>
        </w:tc>
      </w:tr>
      <w:tr w:rsidR="008E30AF" w:rsidRPr="008E30AF" w14:paraId="76B344B8" w14:textId="77777777">
        <w:trPr>
          <w:tblCellSpacing w:w="15" w:type="dxa"/>
        </w:trPr>
        <w:tc>
          <w:tcPr>
            <w:tcW w:w="0" w:type="auto"/>
            <w:tcBorders>
              <w:right w:val="nil"/>
            </w:tcBorders>
            <w:tcMar>
              <w:top w:w="90" w:type="dxa"/>
              <w:left w:w="180" w:type="dxa"/>
              <w:bottom w:w="90" w:type="dxa"/>
              <w:right w:w="180" w:type="dxa"/>
            </w:tcMar>
            <w:vAlign w:val="center"/>
            <w:hideMark/>
          </w:tcPr>
          <w:p w14:paraId="25D35872"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b/>
                <w:bCs/>
                <w:kern w:val="0"/>
                <w:sz w:val="21"/>
                <w:szCs w:val="21"/>
                <w14:ligatures w14:val="none"/>
              </w:rPr>
              <w:t>CE-Ventures</w:t>
            </w:r>
          </w:p>
        </w:tc>
        <w:tc>
          <w:tcPr>
            <w:tcW w:w="0" w:type="auto"/>
            <w:tcBorders>
              <w:right w:val="nil"/>
            </w:tcBorders>
            <w:tcMar>
              <w:top w:w="90" w:type="dxa"/>
              <w:left w:w="180" w:type="dxa"/>
              <w:bottom w:w="90" w:type="dxa"/>
              <w:right w:w="180" w:type="dxa"/>
            </w:tcMar>
            <w:vAlign w:val="center"/>
            <w:hideMark/>
          </w:tcPr>
          <w:p w14:paraId="37F4CCA8"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MENA / India</w:t>
            </w:r>
          </w:p>
        </w:tc>
        <w:tc>
          <w:tcPr>
            <w:tcW w:w="0" w:type="auto"/>
            <w:tcBorders>
              <w:right w:val="nil"/>
            </w:tcBorders>
            <w:tcMar>
              <w:top w:w="90" w:type="dxa"/>
              <w:left w:w="180" w:type="dxa"/>
              <w:bottom w:w="90" w:type="dxa"/>
              <w:right w:w="180" w:type="dxa"/>
            </w:tcMar>
            <w:vAlign w:val="center"/>
            <w:hideMark/>
          </w:tcPr>
          <w:p w14:paraId="455C0832"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Port &amp; Logistics integration</w:t>
            </w:r>
          </w:p>
        </w:tc>
      </w:tr>
      <w:tr w:rsidR="008E30AF" w:rsidRPr="008E30AF" w14:paraId="4FE760A7" w14:textId="77777777">
        <w:trPr>
          <w:tblCellSpacing w:w="15" w:type="dxa"/>
        </w:trPr>
        <w:tc>
          <w:tcPr>
            <w:tcW w:w="0" w:type="auto"/>
            <w:tcBorders>
              <w:right w:val="nil"/>
            </w:tcBorders>
            <w:tcMar>
              <w:top w:w="90" w:type="dxa"/>
              <w:left w:w="180" w:type="dxa"/>
              <w:bottom w:w="90" w:type="dxa"/>
              <w:right w:w="180" w:type="dxa"/>
            </w:tcMar>
            <w:vAlign w:val="center"/>
            <w:hideMark/>
          </w:tcPr>
          <w:p w14:paraId="56604FE3"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b/>
                <w:bCs/>
                <w:kern w:val="0"/>
                <w:sz w:val="21"/>
                <w:szCs w:val="21"/>
                <w14:ligatures w14:val="none"/>
              </w:rPr>
              <w:t>Horizons Ventures</w:t>
            </w:r>
          </w:p>
        </w:tc>
        <w:tc>
          <w:tcPr>
            <w:tcW w:w="0" w:type="auto"/>
            <w:tcBorders>
              <w:right w:val="nil"/>
            </w:tcBorders>
            <w:tcMar>
              <w:top w:w="90" w:type="dxa"/>
              <w:left w:w="180" w:type="dxa"/>
              <w:bottom w:w="90" w:type="dxa"/>
              <w:right w:w="180" w:type="dxa"/>
            </w:tcMar>
            <w:vAlign w:val="center"/>
            <w:hideMark/>
          </w:tcPr>
          <w:p w14:paraId="47E599D8"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Asia / Global</w:t>
            </w:r>
          </w:p>
        </w:tc>
        <w:tc>
          <w:tcPr>
            <w:tcW w:w="0" w:type="auto"/>
            <w:tcBorders>
              <w:right w:val="nil"/>
            </w:tcBorders>
            <w:tcMar>
              <w:top w:w="90" w:type="dxa"/>
              <w:left w:w="180" w:type="dxa"/>
              <w:bottom w:w="90" w:type="dxa"/>
              <w:right w:w="180" w:type="dxa"/>
            </w:tcMar>
            <w:vAlign w:val="center"/>
            <w:hideMark/>
          </w:tcPr>
          <w:p w14:paraId="4E4BE044"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Massive global port &amp; retail network</w:t>
            </w:r>
          </w:p>
        </w:tc>
      </w:tr>
      <w:tr w:rsidR="008E30AF" w:rsidRPr="008E30AF" w14:paraId="2C140A58" w14:textId="77777777">
        <w:trPr>
          <w:tblCellSpacing w:w="15" w:type="dxa"/>
        </w:trPr>
        <w:tc>
          <w:tcPr>
            <w:tcW w:w="0" w:type="auto"/>
            <w:tcBorders>
              <w:right w:val="nil"/>
            </w:tcBorders>
            <w:tcMar>
              <w:top w:w="90" w:type="dxa"/>
              <w:left w:w="180" w:type="dxa"/>
              <w:bottom w:w="90" w:type="dxa"/>
              <w:right w:w="180" w:type="dxa"/>
            </w:tcMar>
            <w:vAlign w:val="center"/>
            <w:hideMark/>
          </w:tcPr>
          <w:p w14:paraId="7A73B93C"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b/>
                <w:bCs/>
                <w:kern w:val="0"/>
                <w:sz w:val="21"/>
                <w:szCs w:val="21"/>
                <w14:ligatures w14:val="none"/>
              </w:rPr>
              <w:t>Mouro Capital</w:t>
            </w:r>
          </w:p>
        </w:tc>
        <w:tc>
          <w:tcPr>
            <w:tcW w:w="0" w:type="auto"/>
            <w:tcBorders>
              <w:right w:val="nil"/>
            </w:tcBorders>
            <w:tcMar>
              <w:top w:w="90" w:type="dxa"/>
              <w:left w:w="180" w:type="dxa"/>
              <w:bottom w:w="90" w:type="dxa"/>
              <w:right w:w="180" w:type="dxa"/>
            </w:tcMar>
            <w:vAlign w:val="center"/>
            <w:hideMark/>
          </w:tcPr>
          <w:p w14:paraId="44963971" w14:textId="77777777" w:rsidR="008E30AF" w:rsidRPr="008E30AF" w:rsidRDefault="008E30AF" w:rsidP="008E30AF">
            <w:pPr>
              <w:spacing w:after="0" w:line="300" w:lineRule="atLeast"/>
              <w:rPr>
                <w:rFonts w:ascii="Arial" w:eastAsia="Times New Roman" w:hAnsi="Arial" w:cs="Arial"/>
                <w:kern w:val="0"/>
                <w:sz w:val="21"/>
                <w:szCs w:val="21"/>
                <w14:ligatures w14:val="none"/>
              </w:rPr>
            </w:pPr>
            <w:proofErr w:type="spellStart"/>
            <w:r w:rsidRPr="008E30AF">
              <w:rPr>
                <w:rFonts w:ascii="Arial" w:eastAsia="Times New Roman" w:hAnsi="Arial" w:cs="Arial"/>
                <w:kern w:val="0"/>
                <w:sz w:val="21"/>
                <w:szCs w:val="21"/>
                <w14:ligatures w14:val="none"/>
              </w:rPr>
              <w:t>LatAm</w:t>
            </w:r>
            <w:proofErr w:type="spellEnd"/>
            <w:r w:rsidRPr="008E30AF">
              <w:rPr>
                <w:rFonts w:ascii="Arial" w:eastAsia="Times New Roman" w:hAnsi="Arial" w:cs="Arial"/>
                <w:kern w:val="0"/>
                <w:sz w:val="21"/>
                <w:szCs w:val="21"/>
                <w14:ligatures w14:val="none"/>
              </w:rPr>
              <w:t xml:space="preserve"> / EU</w:t>
            </w:r>
          </w:p>
        </w:tc>
        <w:tc>
          <w:tcPr>
            <w:tcW w:w="0" w:type="auto"/>
            <w:tcBorders>
              <w:right w:val="nil"/>
            </w:tcBorders>
            <w:tcMar>
              <w:top w:w="90" w:type="dxa"/>
              <w:left w:w="180" w:type="dxa"/>
              <w:bottom w:w="90" w:type="dxa"/>
              <w:right w:w="180" w:type="dxa"/>
            </w:tcMar>
            <w:vAlign w:val="center"/>
            <w:hideMark/>
          </w:tcPr>
          <w:p w14:paraId="52268DA0"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Deep banking &amp; factoring expertise</w:t>
            </w:r>
          </w:p>
        </w:tc>
      </w:tr>
      <w:tr w:rsidR="008E30AF" w:rsidRPr="008E30AF" w14:paraId="084CD370" w14:textId="77777777">
        <w:trPr>
          <w:tblCellSpacing w:w="15" w:type="dxa"/>
        </w:trPr>
        <w:tc>
          <w:tcPr>
            <w:tcW w:w="0" w:type="auto"/>
            <w:tcBorders>
              <w:right w:val="nil"/>
            </w:tcBorders>
            <w:tcMar>
              <w:top w:w="90" w:type="dxa"/>
              <w:left w:w="180" w:type="dxa"/>
              <w:bottom w:w="90" w:type="dxa"/>
              <w:right w:w="180" w:type="dxa"/>
            </w:tcMar>
            <w:vAlign w:val="center"/>
            <w:hideMark/>
          </w:tcPr>
          <w:p w14:paraId="17DD95EE"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b/>
                <w:bCs/>
                <w:kern w:val="0"/>
                <w:sz w:val="21"/>
                <w:szCs w:val="21"/>
                <w14:ligatures w14:val="none"/>
              </w:rPr>
              <w:t>Lateral Frontiers</w:t>
            </w:r>
          </w:p>
        </w:tc>
        <w:tc>
          <w:tcPr>
            <w:tcW w:w="0" w:type="auto"/>
            <w:tcBorders>
              <w:right w:val="nil"/>
            </w:tcBorders>
            <w:tcMar>
              <w:top w:w="90" w:type="dxa"/>
              <w:left w:w="180" w:type="dxa"/>
              <w:bottom w:w="90" w:type="dxa"/>
              <w:right w:w="180" w:type="dxa"/>
            </w:tcMar>
            <w:vAlign w:val="center"/>
            <w:hideMark/>
          </w:tcPr>
          <w:p w14:paraId="2ACD9BA3"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Sub-Saharan Africa</w:t>
            </w:r>
          </w:p>
        </w:tc>
        <w:tc>
          <w:tcPr>
            <w:tcW w:w="0" w:type="auto"/>
            <w:tcBorders>
              <w:right w:val="nil"/>
            </w:tcBorders>
            <w:tcMar>
              <w:top w:w="90" w:type="dxa"/>
              <w:left w:w="180" w:type="dxa"/>
              <w:bottom w:w="90" w:type="dxa"/>
              <w:right w:w="180" w:type="dxa"/>
            </w:tcMar>
            <w:vAlign w:val="center"/>
            <w:hideMark/>
          </w:tcPr>
          <w:p w14:paraId="2CD87D54"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Specialists in African B2B infrastructure</w:t>
            </w:r>
          </w:p>
        </w:tc>
      </w:tr>
      <w:tr w:rsidR="008E30AF" w:rsidRPr="008E30AF" w14:paraId="27C2E8D8" w14:textId="77777777">
        <w:trPr>
          <w:tblCellSpacing w:w="15" w:type="dxa"/>
        </w:trPr>
        <w:tc>
          <w:tcPr>
            <w:tcW w:w="0" w:type="auto"/>
            <w:tcBorders>
              <w:right w:val="nil"/>
            </w:tcBorders>
            <w:tcMar>
              <w:top w:w="90" w:type="dxa"/>
              <w:left w:w="180" w:type="dxa"/>
              <w:bottom w:w="90" w:type="dxa"/>
              <w:right w:w="180" w:type="dxa"/>
            </w:tcMar>
            <w:vAlign w:val="center"/>
            <w:hideMark/>
          </w:tcPr>
          <w:p w14:paraId="065833F3"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b/>
                <w:bCs/>
                <w:kern w:val="0"/>
                <w:sz w:val="21"/>
                <w:szCs w:val="21"/>
                <w14:ligatures w14:val="none"/>
              </w:rPr>
              <w:t>Point72 Ventures</w:t>
            </w:r>
          </w:p>
        </w:tc>
        <w:tc>
          <w:tcPr>
            <w:tcW w:w="0" w:type="auto"/>
            <w:tcBorders>
              <w:right w:val="nil"/>
            </w:tcBorders>
            <w:tcMar>
              <w:top w:w="90" w:type="dxa"/>
              <w:left w:w="180" w:type="dxa"/>
              <w:bottom w:w="90" w:type="dxa"/>
              <w:right w:w="180" w:type="dxa"/>
            </w:tcMar>
            <w:vAlign w:val="center"/>
            <w:hideMark/>
          </w:tcPr>
          <w:p w14:paraId="00CDB6F7"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USA / Global</w:t>
            </w:r>
          </w:p>
        </w:tc>
        <w:tc>
          <w:tcPr>
            <w:tcW w:w="0" w:type="auto"/>
            <w:tcBorders>
              <w:right w:val="nil"/>
            </w:tcBorders>
            <w:tcMar>
              <w:top w:w="90" w:type="dxa"/>
              <w:left w:w="180" w:type="dxa"/>
              <w:bottom w:w="90" w:type="dxa"/>
              <w:right w:w="180" w:type="dxa"/>
            </w:tcMar>
            <w:vAlign w:val="center"/>
            <w:hideMark/>
          </w:tcPr>
          <w:p w14:paraId="6EF0D25B"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Experts in AI &amp; high-speed settlement</w:t>
            </w:r>
          </w:p>
        </w:tc>
      </w:tr>
      <w:tr w:rsidR="008E30AF" w:rsidRPr="008E30AF" w14:paraId="0AA493DB" w14:textId="77777777">
        <w:trPr>
          <w:tblCellSpacing w:w="15" w:type="dxa"/>
        </w:trPr>
        <w:tc>
          <w:tcPr>
            <w:tcW w:w="0" w:type="auto"/>
            <w:tcBorders>
              <w:right w:val="nil"/>
            </w:tcBorders>
            <w:tcMar>
              <w:top w:w="90" w:type="dxa"/>
              <w:left w:w="180" w:type="dxa"/>
              <w:bottom w:w="90" w:type="dxa"/>
              <w:right w:w="180" w:type="dxa"/>
            </w:tcMar>
            <w:vAlign w:val="center"/>
            <w:hideMark/>
          </w:tcPr>
          <w:p w14:paraId="7B6B682D" w14:textId="77777777" w:rsidR="008E30AF" w:rsidRPr="008E30AF" w:rsidRDefault="008E30AF" w:rsidP="008E30AF">
            <w:pPr>
              <w:spacing w:after="0" w:line="300" w:lineRule="atLeast"/>
              <w:rPr>
                <w:rFonts w:ascii="Arial" w:eastAsia="Times New Roman" w:hAnsi="Arial" w:cs="Arial"/>
                <w:kern w:val="0"/>
                <w:sz w:val="21"/>
                <w:szCs w:val="21"/>
                <w14:ligatures w14:val="none"/>
              </w:rPr>
            </w:pPr>
            <w:proofErr w:type="spellStart"/>
            <w:r w:rsidRPr="008E30AF">
              <w:rPr>
                <w:rFonts w:ascii="Arial" w:eastAsia="Times New Roman" w:hAnsi="Arial" w:cs="Arial"/>
                <w:b/>
                <w:bCs/>
                <w:kern w:val="0"/>
                <w:sz w:val="21"/>
                <w:szCs w:val="21"/>
                <w14:ligatures w14:val="none"/>
              </w:rPr>
              <w:t>YZi</w:t>
            </w:r>
            <w:proofErr w:type="spellEnd"/>
            <w:r w:rsidRPr="008E30AF">
              <w:rPr>
                <w:rFonts w:ascii="Arial" w:eastAsia="Times New Roman" w:hAnsi="Arial" w:cs="Arial"/>
                <w:b/>
                <w:bCs/>
                <w:kern w:val="0"/>
                <w:sz w:val="21"/>
                <w:szCs w:val="21"/>
                <w14:ligatures w14:val="none"/>
              </w:rPr>
              <w:t xml:space="preserve"> Labs</w:t>
            </w:r>
          </w:p>
        </w:tc>
        <w:tc>
          <w:tcPr>
            <w:tcW w:w="0" w:type="auto"/>
            <w:tcBorders>
              <w:right w:val="nil"/>
            </w:tcBorders>
            <w:tcMar>
              <w:top w:w="90" w:type="dxa"/>
              <w:left w:w="180" w:type="dxa"/>
              <w:bottom w:w="90" w:type="dxa"/>
              <w:right w:w="180" w:type="dxa"/>
            </w:tcMar>
            <w:vAlign w:val="center"/>
            <w:hideMark/>
          </w:tcPr>
          <w:p w14:paraId="62889203"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Asia / UAE</w:t>
            </w:r>
          </w:p>
        </w:tc>
        <w:tc>
          <w:tcPr>
            <w:tcW w:w="0" w:type="auto"/>
            <w:tcBorders>
              <w:right w:val="nil"/>
            </w:tcBorders>
            <w:tcMar>
              <w:top w:w="90" w:type="dxa"/>
              <w:left w:w="180" w:type="dxa"/>
              <w:bottom w:w="90" w:type="dxa"/>
              <w:right w:w="180" w:type="dxa"/>
            </w:tcMar>
            <w:vAlign w:val="center"/>
            <w:hideMark/>
          </w:tcPr>
          <w:p w14:paraId="2C566D1C" w14:textId="77777777" w:rsidR="008E30AF" w:rsidRPr="008E30AF" w:rsidRDefault="008E30AF" w:rsidP="008E30AF">
            <w:pPr>
              <w:spacing w:after="0" w:line="300" w:lineRule="atLeast"/>
              <w:rPr>
                <w:rFonts w:ascii="Arial" w:eastAsia="Times New Roman" w:hAnsi="Arial" w:cs="Arial"/>
                <w:kern w:val="0"/>
                <w:sz w:val="21"/>
                <w:szCs w:val="21"/>
                <w14:ligatures w14:val="none"/>
              </w:rPr>
            </w:pPr>
            <w:r w:rsidRPr="008E30AF">
              <w:rPr>
                <w:rFonts w:ascii="Arial" w:eastAsia="Times New Roman" w:hAnsi="Arial" w:cs="Arial"/>
                <w:kern w:val="0"/>
                <w:sz w:val="21"/>
                <w:szCs w:val="21"/>
                <w14:ligatures w14:val="none"/>
              </w:rPr>
              <w:t>Leading DeFi/Blockchain settlement</w:t>
            </w:r>
          </w:p>
        </w:tc>
      </w:tr>
    </w:tbl>
    <w:p w14:paraId="7A878E5E" w14:textId="3FE17D18" w:rsidR="00A03483" w:rsidRPr="008E30AF" w:rsidRDefault="00A03483" w:rsidP="008E30AF"/>
    <w:sectPr w:rsidR="00A03483" w:rsidRPr="008E3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E0793"/>
    <w:multiLevelType w:val="multilevel"/>
    <w:tmpl w:val="7B748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97431"/>
    <w:multiLevelType w:val="multilevel"/>
    <w:tmpl w:val="AD88A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B2AB4"/>
    <w:multiLevelType w:val="multilevel"/>
    <w:tmpl w:val="F522B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514A82"/>
    <w:multiLevelType w:val="multilevel"/>
    <w:tmpl w:val="51EAF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734792">
    <w:abstractNumId w:val="3"/>
  </w:num>
  <w:num w:numId="2" w16cid:durableId="1058672188">
    <w:abstractNumId w:val="1"/>
  </w:num>
  <w:num w:numId="3" w16cid:durableId="2053530123">
    <w:abstractNumId w:val="2"/>
  </w:num>
  <w:num w:numId="4" w16cid:durableId="149954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GwtDQyMzOxNDSyMDZW0lEKTi0uzszPAykwrAUANWpOWCwAAAA="/>
  </w:docVars>
  <w:rsids>
    <w:rsidRoot w:val="008E30AF"/>
    <w:rsid w:val="005020E7"/>
    <w:rsid w:val="007212F8"/>
    <w:rsid w:val="00814F1C"/>
    <w:rsid w:val="008E30AF"/>
    <w:rsid w:val="0098613E"/>
    <w:rsid w:val="00A0348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2F42"/>
  <w15:chartTrackingRefBased/>
  <w15:docId w15:val="{F194BFA6-CE93-41FC-9796-F24AA764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3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3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0AF"/>
    <w:rPr>
      <w:rFonts w:eastAsiaTheme="majorEastAsia" w:cstheme="majorBidi"/>
      <w:color w:val="272727" w:themeColor="text1" w:themeTint="D8"/>
    </w:rPr>
  </w:style>
  <w:style w:type="paragraph" w:styleId="Title">
    <w:name w:val="Title"/>
    <w:basedOn w:val="Normal"/>
    <w:next w:val="Normal"/>
    <w:link w:val="TitleChar"/>
    <w:uiPriority w:val="10"/>
    <w:qFormat/>
    <w:rsid w:val="008E3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0AF"/>
    <w:pPr>
      <w:spacing w:before="160"/>
      <w:jc w:val="center"/>
    </w:pPr>
    <w:rPr>
      <w:i/>
      <w:iCs/>
      <w:color w:val="404040" w:themeColor="text1" w:themeTint="BF"/>
    </w:rPr>
  </w:style>
  <w:style w:type="character" w:customStyle="1" w:styleId="QuoteChar">
    <w:name w:val="Quote Char"/>
    <w:basedOn w:val="DefaultParagraphFont"/>
    <w:link w:val="Quote"/>
    <w:uiPriority w:val="29"/>
    <w:rsid w:val="008E30AF"/>
    <w:rPr>
      <w:i/>
      <w:iCs/>
      <w:color w:val="404040" w:themeColor="text1" w:themeTint="BF"/>
    </w:rPr>
  </w:style>
  <w:style w:type="paragraph" w:styleId="ListParagraph">
    <w:name w:val="List Paragraph"/>
    <w:basedOn w:val="Normal"/>
    <w:uiPriority w:val="34"/>
    <w:qFormat/>
    <w:rsid w:val="008E30AF"/>
    <w:pPr>
      <w:ind w:left="720"/>
      <w:contextualSpacing/>
    </w:pPr>
  </w:style>
  <w:style w:type="character" w:styleId="IntenseEmphasis">
    <w:name w:val="Intense Emphasis"/>
    <w:basedOn w:val="DefaultParagraphFont"/>
    <w:uiPriority w:val="21"/>
    <w:qFormat/>
    <w:rsid w:val="008E30AF"/>
    <w:rPr>
      <w:i/>
      <w:iCs/>
      <w:color w:val="0F4761" w:themeColor="accent1" w:themeShade="BF"/>
    </w:rPr>
  </w:style>
  <w:style w:type="paragraph" w:styleId="IntenseQuote">
    <w:name w:val="Intense Quote"/>
    <w:basedOn w:val="Normal"/>
    <w:next w:val="Normal"/>
    <w:link w:val="IntenseQuoteChar"/>
    <w:uiPriority w:val="30"/>
    <w:qFormat/>
    <w:rsid w:val="008E3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0AF"/>
    <w:rPr>
      <w:i/>
      <w:iCs/>
      <w:color w:val="0F4761" w:themeColor="accent1" w:themeShade="BF"/>
    </w:rPr>
  </w:style>
  <w:style w:type="character" w:styleId="IntenseReference">
    <w:name w:val="Intense Reference"/>
    <w:basedOn w:val="DefaultParagraphFont"/>
    <w:uiPriority w:val="32"/>
    <w:qFormat/>
    <w:rsid w:val="008E30AF"/>
    <w:rPr>
      <w:b/>
      <w:bCs/>
      <w:smallCaps/>
      <w:color w:val="0F4761" w:themeColor="accent1" w:themeShade="BF"/>
      <w:spacing w:val="5"/>
    </w:rPr>
  </w:style>
  <w:style w:type="paragraph" w:customStyle="1" w:styleId="ng-star-inserted">
    <w:name w:val="ng-star-inserted"/>
    <w:basedOn w:val="Normal"/>
    <w:rsid w:val="008E30A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8E3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vertexaisearch.cloud.google.com%2Fgrounding-api-redirect%2FAUZIYQGdnRZMe4M4OOUiKkZ_DmbCP2aoUwXLgmclvabPKm6uQ-wLROTE5K8xPumus73uaO67PYB4vFlugKMx2jJQvc7yOG84j_UdHLzsiT8FVV4CfEjLB-E28VKd3BphqnhopPkxXLMFD9X7YjyZSGIv63NEexuI08m14w4rypdhIMTwV-fe6jtjGKLZUEf-WTMBZYhBLmv2yMYO" TargetMode="External"/><Relationship Id="rId3" Type="http://schemas.openxmlformats.org/officeDocument/2006/relationships/settings" Target="settings.xml"/><Relationship Id="rId7" Type="http://schemas.openxmlformats.org/officeDocument/2006/relationships/hyperlink" Target="https://www.google.com/url?sa=E&amp;q=https%3A%2F%2Fvertexaisearch.cloud.google.com%2Fgrounding-api-redirect%2FAUZIYQGwnbdOEXvHSEvZwEv_9Ni6qScOQEe2874_rnp8yMJubqGHVlPKHmpObdNUFzYPkjECp06VsMh9QTV-9ocMT5FRWvaoAO2pA9Nzln1EO7yiBvf_sDcbNfAuLOd2cF-0Aw-Y7uCKxaMOEQjTHTOP2YJkhzJ6kJ2mZY4bU26uX3wy2OLM1SkaDmsPL_D_r07eppjSrl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https%3A%2F%2Fvertexaisearch.cloud.google.com%2Fgrounding-api-redirect%2FAUZIYQHZRlAR4nONovhyxBQSRR5P_ucBVW4zxNbcalVGU_Dy6-jQQojAzAsCuQBZP7LBZfm-isZH1TiF-jf54-jFDQTHjS_zSbRucL6eu0O_ankUuiHjWBqgl1Bpn53xPvMNdW-v7J-_WJNk3mwnjYSjW8RvcHV6A293StEl7s79ZG2C9Q%3D%3D" TargetMode="External"/><Relationship Id="rId5" Type="http://schemas.openxmlformats.org/officeDocument/2006/relationships/hyperlink" Target="https://www.google.com/url?sa=E&amp;q=https%3A%2F%2Fvertexaisearch.cloud.google.com%2Fgrounding-api-redirect%2FAUZIYQHZRlAR4nONovhyxBQSRR5P_ucBVW4zxNbcalVGU_Dy6-jQQojAzAsCuQBZP7LBZfm-isZH1TiF-jf54-jFDQTHjS_zSbRucL6eu0O_ankUuiHjWBqgl1Bpn53xPvMNdW-v7J-_WJNk3mwnjYSjW8RvcHV6A293StEl7s79ZG2C9Q%3D%3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935</Words>
  <Characters>5541</Characters>
  <Application>Microsoft Office Word</Application>
  <DocSecurity>0</DocSecurity>
  <Lines>120</Lines>
  <Paragraphs>99</Paragraphs>
  <ScaleCrop>false</ScaleCrop>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2</cp:revision>
  <dcterms:created xsi:type="dcterms:W3CDTF">2026-01-28T18:41:00Z</dcterms:created>
  <dcterms:modified xsi:type="dcterms:W3CDTF">2026-01-28T18:44:00Z</dcterms:modified>
</cp:coreProperties>
</file>