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BFA27" w14:textId="77777777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Based on the finalized 2024 data from the </w:t>
      </w: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World Bank (KNOMAD)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, </w:t>
      </w: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IMF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, and </w:t>
      </w: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FXC Intelligence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, total remittance inflows to Low- and Middle-Income Countries (LMICs) reached approximately </w:t>
      </w: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$655 billion USD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in 2024.</w:t>
      </w:r>
    </w:p>
    <w:p w14:paraId="3228509B" w14:textId="77777777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>The following tables provide a breakdown of the leading aggregators for each region, their estimated market share/volumes, and performance metrics regarding cost and speed.</w:t>
      </w:r>
    </w:p>
    <w:p w14:paraId="4FA92B1E" w14:textId="7FDEA398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27E7F9D6" w14:textId="77777777" w:rsidR="002C6EF3" w:rsidRPr="002C6EF3" w:rsidRDefault="002C6EF3" w:rsidP="002C6EF3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1. South Asia (SAR)</w:t>
      </w:r>
    </w:p>
    <w:p w14:paraId="09685BB7" w14:textId="77777777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India, Pakistan, Bangladesh, Nepal, Sri Lanka</w:t>
      </w:r>
    </w:p>
    <w:p w14:paraId="03932E36" w14:textId="77777777" w:rsidR="002C6EF3" w:rsidRPr="002C6EF3" w:rsidRDefault="002C6EF3" w:rsidP="002C6EF3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Total Region Inflow (2024):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~$192 Billion USD</w:t>
      </w:r>
    </w:p>
    <w:p w14:paraId="40607FF8" w14:textId="77777777" w:rsidR="002C6EF3" w:rsidRPr="002C6EF3" w:rsidRDefault="002C6EF3" w:rsidP="002C6EF3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Primary Drivers: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GCC-to-India/Pakistan and USA-to-India.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2435"/>
        <w:gridCol w:w="1611"/>
        <w:gridCol w:w="1588"/>
        <w:gridCol w:w="1926"/>
      </w:tblGrid>
      <w:tr w:rsidR="002C6EF3" w:rsidRPr="002C6EF3" w14:paraId="47AA4B2A" w14:textId="77777777" w:rsidTr="00772E7E">
        <w:trPr>
          <w:trHeight w:val="495"/>
          <w:tblCellSpacing w:w="15" w:type="dxa"/>
        </w:trPr>
        <w:tc>
          <w:tcPr>
            <w:tcW w:w="1755" w:type="dxa"/>
            <w:vAlign w:val="center"/>
            <w:hideMark/>
          </w:tcPr>
          <w:p w14:paraId="511A2954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Aggregator Category</w:t>
            </w:r>
          </w:p>
        </w:tc>
        <w:tc>
          <w:tcPr>
            <w:tcW w:w="2405" w:type="dxa"/>
            <w:vAlign w:val="center"/>
            <w:hideMark/>
          </w:tcPr>
          <w:p w14:paraId="73B06C5B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Leading Aggregators</w:t>
            </w:r>
          </w:p>
        </w:tc>
        <w:tc>
          <w:tcPr>
            <w:tcW w:w="0" w:type="auto"/>
            <w:vAlign w:val="center"/>
            <w:hideMark/>
          </w:tcPr>
          <w:p w14:paraId="5239CE07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Volume (USD)</w:t>
            </w:r>
          </w:p>
        </w:tc>
        <w:tc>
          <w:tcPr>
            <w:tcW w:w="0" w:type="auto"/>
            <w:vAlign w:val="center"/>
            <w:hideMark/>
          </w:tcPr>
          <w:p w14:paraId="0EA1BCD6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Total Cost (%)</w:t>
            </w:r>
          </w:p>
        </w:tc>
        <w:tc>
          <w:tcPr>
            <w:tcW w:w="0" w:type="auto"/>
            <w:vAlign w:val="center"/>
            <w:hideMark/>
          </w:tcPr>
          <w:p w14:paraId="6DD60C7F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Settlement Time</w:t>
            </w:r>
          </w:p>
        </w:tc>
      </w:tr>
      <w:tr w:rsidR="002C6EF3" w:rsidRPr="002C6EF3" w14:paraId="55F33428" w14:textId="77777777" w:rsidTr="00772E7E">
        <w:trPr>
          <w:tblCellSpacing w:w="15" w:type="dxa"/>
        </w:trPr>
        <w:tc>
          <w:tcPr>
            <w:tcW w:w="1755" w:type="dxa"/>
            <w:vAlign w:val="center"/>
            <w:hideMark/>
          </w:tcPr>
          <w:p w14:paraId="6B125ACE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GCC Aggregators</w:t>
            </w:r>
          </w:p>
        </w:tc>
        <w:tc>
          <w:tcPr>
            <w:tcW w:w="2405" w:type="dxa"/>
            <w:vAlign w:val="center"/>
            <w:hideMark/>
          </w:tcPr>
          <w:p w14:paraId="3A3274CA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Al Ansari, Lulu, </w:t>
            </w: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stc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pay</w:t>
            </w:r>
          </w:p>
        </w:tc>
        <w:tc>
          <w:tcPr>
            <w:tcW w:w="0" w:type="auto"/>
            <w:vAlign w:val="center"/>
            <w:hideMark/>
          </w:tcPr>
          <w:p w14:paraId="3CB74F36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$75B</w:t>
            </w:r>
          </w:p>
        </w:tc>
        <w:tc>
          <w:tcPr>
            <w:tcW w:w="0" w:type="auto"/>
            <w:vAlign w:val="center"/>
            <w:hideMark/>
          </w:tcPr>
          <w:p w14:paraId="5F669EAF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3.5% – 4.2%</w:t>
            </w:r>
          </w:p>
        </w:tc>
        <w:tc>
          <w:tcPr>
            <w:tcW w:w="0" w:type="auto"/>
            <w:vAlign w:val="center"/>
            <w:hideMark/>
          </w:tcPr>
          <w:p w14:paraId="7EE29821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Instant – 1 hour</w:t>
            </w:r>
          </w:p>
        </w:tc>
      </w:tr>
      <w:tr w:rsidR="002C6EF3" w:rsidRPr="002C6EF3" w14:paraId="12AF6BFB" w14:textId="77777777" w:rsidTr="00772E7E">
        <w:trPr>
          <w:trHeight w:val="177"/>
          <w:tblCellSpacing w:w="15" w:type="dxa"/>
        </w:trPr>
        <w:tc>
          <w:tcPr>
            <w:tcW w:w="1755" w:type="dxa"/>
            <w:vAlign w:val="center"/>
            <w:hideMark/>
          </w:tcPr>
          <w:p w14:paraId="6E24BA45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Global Digital</w:t>
            </w:r>
          </w:p>
        </w:tc>
        <w:tc>
          <w:tcPr>
            <w:tcW w:w="2405" w:type="dxa"/>
            <w:vAlign w:val="center"/>
            <w:hideMark/>
          </w:tcPr>
          <w:p w14:paraId="120ADDCF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</w:t>
            </w: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Instarem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EC01AD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$48B</w:t>
            </w:r>
          </w:p>
        </w:tc>
        <w:tc>
          <w:tcPr>
            <w:tcW w:w="0" w:type="auto"/>
            <w:vAlign w:val="center"/>
            <w:hideMark/>
          </w:tcPr>
          <w:p w14:paraId="0A091B86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2.1% – 3.1%</w:t>
            </w:r>
          </w:p>
        </w:tc>
        <w:tc>
          <w:tcPr>
            <w:tcW w:w="0" w:type="auto"/>
            <w:vAlign w:val="center"/>
            <w:hideMark/>
          </w:tcPr>
          <w:p w14:paraId="1A7196B5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Instant – 4 hours</w:t>
            </w:r>
          </w:p>
        </w:tc>
      </w:tr>
      <w:tr w:rsidR="002C6EF3" w:rsidRPr="002C6EF3" w14:paraId="416AC864" w14:textId="77777777" w:rsidTr="00772E7E">
        <w:trPr>
          <w:tblCellSpacing w:w="15" w:type="dxa"/>
        </w:trPr>
        <w:tc>
          <w:tcPr>
            <w:tcW w:w="1755" w:type="dxa"/>
            <w:vAlign w:val="center"/>
            <w:hideMark/>
          </w:tcPr>
          <w:p w14:paraId="6ECE47EF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Traditional MTOs</w:t>
            </w:r>
          </w:p>
        </w:tc>
        <w:tc>
          <w:tcPr>
            <w:tcW w:w="2405" w:type="dxa"/>
            <w:vAlign w:val="center"/>
            <w:hideMark/>
          </w:tcPr>
          <w:p w14:paraId="7AAA8E29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Western Union, MoneyGram</w:t>
            </w:r>
          </w:p>
        </w:tc>
        <w:tc>
          <w:tcPr>
            <w:tcW w:w="0" w:type="auto"/>
            <w:vAlign w:val="center"/>
            <w:hideMark/>
          </w:tcPr>
          <w:p w14:paraId="7C1CC249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$42B</w:t>
            </w:r>
          </w:p>
        </w:tc>
        <w:tc>
          <w:tcPr>
            <w:tcW w:w="0" w:type="auto"/>
            <w:vAlign w:val="center"/>
            <w:hideMark/>
          </w:tcPr>
          <w:p w14:paraId="76567369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4.8% – 5.5%</w:t>
            </w:r>
          </w:p>
        </w:tc>
        <w:tc>
          <w:tcPr>
            <w:tcW w:w="0" w:type="auto"/>
            <w:vAlign w:val="center"/>
            <w:hideMark/>
          </w:tcPr>
          <w:p w14:paraId="6D967DF3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Minutes (Cash)</w:t>
            </w:r>
          </w:p>
        </w:tc>
      </w:tr>
      <w:tr w:rsidR="002C6EF3" w:rsidRPr="002C6EF3" w14:paraId="4CAA3532" w14:textId="77777777" w:rsidTr="00772E7E">
        <w:trPr>
          <w:tblCellSpacing w:w="15" w:type="dxa"/>
        </w:trPr>
        <w:tc>
          <w:tcPr>
            <w:tcW w:w="1755" w:type="dxa"/>
            <w:vAlign w:val="center"/>
            <w:hideMark/>
          </w:tcPr>
          <w:p w14:paraId="38967A92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Direct Bank-to-Bank</w:t>
            </w:r>
          </w:p>
        </w:tc>
        <w:tc>
          <w:tcPr>
            <w:tcW w:w="2405" w:type="dxa"/>
            <w:vAlign w:val="center"/>
            <w:hideMark/>
          </w:tcPr>
          <w:p w14:paraId="7FE90F7F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SBI, ICICI, HDFC (Direct)</w:t>
            </w:r>
          </w:p>
        </w:tc>
        <w:tc>
          <w:tcPr>
            <w:tcW w:w="0" w:type="auto"/>
            <w:vAlign w:val="center"/>
            <w:hideMark/>
          </w:tcPr>
          <w:p w14:paraId="2B0480E3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$27B</w:t>
            </w:r>
          </w:p>
        </w:tc>
        <w:tc>
          <w:tcPr>
            <w:tcW w:w="0" w:type="auto"/>
            <w:vAlign w:val="center"/>
            <w:hideMark/>
          </w:tcPr>
          <w:p w14:paraId="66D140C8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1.5% – 2.5%</w:t>
            </w:r>
          </w:p>
        </w:tc>
        <w:tc>
          <w:tcPr>
            <w:tcW w:w="0" w:type="auto"/>
            <w:vAlign w:val="center"/>
            <w:hideMark/>
          </w:tcPr>
          <w:p w14:paraId="04AF1AF7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 – 2 Days</w:t>
            </w:r>
          </w:p>
        </w:tc>
      </w:tr>
    </w:tbl>
    <w:p w14:paraId="38C7933C" w14:textId="7D069066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5B6836FE" w14:textId="77777777" w:rsidR="002C6EF3" w:rsidRPr="002C6EF3" w:rsidRDefault="002C6EF3" w:rsidP="002C6EF3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2. Latin America &amp; Caribbean (LAC)</w:t>
      </w:r>
    </w:p>
    <w:p w14:paraId="48129214" w14:textId="77777777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Mexico, Guatemala, Colombia, Dominican Republic, Brazil</w:t>
      </w:r>
    </w:p>
    <w:p w14:paraId="0B7AE103" w14:textId="77777777" w:rsidR="002C6EF3" w:rsidRPr="002C6EF3" w:rsidRDefault="002C6EF3" w:rsidP="002C6EF3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Total Region Inflow (2024):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~$158 Billion USD</w:t>
      </w:r>
    </w:p>
    <w:p w14:paraId="0416D81B" w14:textId="77777777" w:rsidR="002C6EF3" w:rsidRPr="002C6EF3" w:rsidRDefault="002C6EF3" w:rsidP="002C6EF3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Primary Drivers: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USA-to-Mexico (The world's largest corridor).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2364"/>
        <w:gridCol w:w="1611"/>
        <w:gridCol w:w="1588"/>
        <w:gridCol w:w="1926"/>
      </w:tblGrid>
      <w:tr w:rsidR="002C6EF3" w:rsidRPr="002C6EF3" w14:paraId="61E339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6D3722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Aggregator Category</w:t>
            </w:r>
          </w:p>
        </w:tc>
        <w:tc>
          <w:tcPr>
            <w:tcW w:w="0" w:type="auto"/>
            <w:vAlign w:val="center"/>
            <w:hideMark/>
          </w:tcPr>
          <w:p w14:paraId="27E8FD74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Leading Aggregators</w:t>
            </w:r>
          </w:p>
        </w:tc>
        <w:tc>
          <w:tcPr>
            <w:tcW w:w="0" w:type="auto"/>
            <w:vAlign w:val="center"/>
            <w:hideMark/>
          </w:tcPr>
          <w:p w14:paraId="30500669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Volume (USD)</w:t>
            </w:r>
          </w:p>
        </w:tc>
        <w:tc>
          <w:tcPr>
            <w:tcW w:w="0" w:type="auto"/>
            <w:vAlign w:val="center"/>
            <w:hideMark/>
          </w:tcPr>
          <w:p w14:paraId="0912B7A0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Total Cost (%)</w:t>
            </w:r>
          </w:p>
        </w:tc>
        <w:tc>
          <w:tcPr>
            <w:tcW w:w="0" w:type="auto"/>
            <w:vAlign w:val="center"/>
            <w:hideMark/>
          </w:tcPr>
          <w:p w14:paraId="2E1B218F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Settlement Time</w:t>
            </w:r>
          </w:p>
        </w:tc>
      </w:tr>
      <w:tr w:rsidR="002C6EF3" w:rsidRPr="002C6EF3" w14:paraId="5936F3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C3E10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Specialized MTOs</w:t>
            </w:r>
          </w:p>
        </w:tc>
        <w:tc>
          <w:tcPr>
            <w:tcW w:w="0" w:type="auto"/>
            <w:vAlign w:val="center"/>
            <w:hideMark/>
          </w:tcPr>
          <w:p w14:paraId="6D55E38C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Intermex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Viamericas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Ria</w:t>
            </w:r>
          </w:p>
        </w:tc>
        <w:tc>
          <w:tcPr>
            <w:tcW w:w="0" w:type="auto"/>
            <w:vAlign w:val="center"/>
            <w:hideMark/>
          </w:tcPr>
          <w:p w14:paraId="130755BE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$62B</w:t>
            </w:r>
          </w:p>
        </w:tc>
        <w:tc>
          <w:tcPr>
            <w:tcW w:w="0" w:type="auto"/>
            <w:vAlign w:val="center"/>
            <w:hideMark/>
          </w:tcPr>
          <w:p w14:paraId="1B711272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3.8% – 4.5%</w:t>
            </w:r>
          </w:p>
        </w:tc>
        <w:tc>
          <w:tcPr>
            <w:tcW w:w="0" w:type="auto"/>
            <w:vAlign w:val="center"/>
            <w:hideMark/>
          </w:tcPr>
          <w:p w14:paraId="5BDD70A3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Minutes</w:t>
            </w:r>
          </w:p>
        </w:tc>
      </w:tr>
      <w:tr w:rsidR="002C6EF3" w:rsidRPr="002C6EF3" w14:paraId="0CFB80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B2C7C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Global Digital</w:t>
            </w:r>
          </w:p>
        </w:tc>
        <w:tc>
          <w:tcPr>
            <w:tcW w:w="0" w:type="auto"/>
            <w:vAlign w:val="center"/>
            <w:hideMark/>
          </w:tcPr>
          <w:p w14:paraId="29865A8E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Xoom (PayPal)</w:t>
            </w:r>
          </w:p>
        </w:tc>
        <w:tc>
          <w:tcPr>
            <w:tcW w:w="0" w:type="auto"/>
            <w:vAlign w:val="center"/>
            <w:hideMark/>
          </w:tcPr>
          <w:p w14:paraId="224CB455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$45B</w:t>
            </w:r>
          </w:p>
        </w:tc>
        <w:tc>
          <w:tcPr>
            <w:tcW w:w="0" w:type="auto"/>
            <w:vAlign w:val="center"/>
            <w:hideMark/>
          </w:tcPr>
          <w:p w14:paraId="73AEE3F0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4.1% – 4.9%</w:t>
            </w:r>
          </w:p>
        </w:tc>
        <w:tc>
          <w:tcPr>
            <w:tcW w:w="0" w:type="auto"/>
            <w:vAlign w:val="center"/>
            <w:hideMark/>
          </w:tcPr>
          <w:p w14:paraId="176B5DD5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&lt; 30 Minutes</w:t>
            </w:r>
          </w:p>
        </w:tc>
      </w:tr>
      <w:tr w:rsidR="002C6EF3" w:rsidRPr="002C6EF3" w14:paraId="4C724F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6634C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Traditional MTOs</w:t>
            </w:r>
          </w:p>
        </w:tc>
        <w:tc>
          <w:tcPr>
            <w:tcW w:w="0" w:type="auto"/>
            <w:vAlign w:val="center"/>
            <w:hideMark/>
          </w:tcPr>
          <w:p w14:paraId="699C1A85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Western Union, MoneyGram</w:t>
            </w:r>
          </w:p>
        </w:tc>
        <w:tc>
          <w:tcPr>
            <w:tcW w:w="0" w:type="auto"/>
            <w:vAlign w:val="center"/>
            <w:hideMark/>
          </w:tcPr>
          <w:p w14:paraId="24B25E33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$38B</w:t>
            </w:r>
          </w:p>
        </w:tc>
        <w:tc>
          <w:tcPr>
            <w:tcW w:w="0" w:type="auto"/>
            <w:vAlign w:val="center"/>
            <w:hideMark/>
          </w:tcPr>
          <w:p w14:paraId="69D483FF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4.5% – 5.2%</w:t>
            </w:r>
          </w:p>
        </w:tc>
        <w:tc>
          <w:tcPr>
            <w:tcW w:w="0" w:type="auto"/>
            <w:vAlign w:val="center"/>
            <w:hideMark/>
          </w:tcPr>
          <w:p w14:paraId="18D8B3B1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Minutes (Cash)</w:t>
            </w:r>
          </w:p>
        </w:tc>
      </w:tr>
      <w:tr w:rsidR="002C6EF3" w:rsidRPr="002C6EF3" w14:paraId="2DEC7E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7089D7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Retail Aggregators</w:t>
            </w:r>
          </w:p>
        </w:tc>
        <w:tc>
          <w:tcPr>
            <w:tcW w:w="0" w:type="auto"/>
            <w:vAlign w:val="center"/>
            <w:hideMark/>
          </w:tcPr>
          <w:p w14:paraId="7064E208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OXXO (via partners), Elektra</w:t>
            </w:r>
          </w:p>
        </w:tc>
        <w:tc>
          <w:tcPr>
            <w:tcW w:w="0" w:type="auto"/>
            <w:vAlign w:val="center"/>
            <w:hideMark/>
          </w:tcPr>
          <w:p w14:paraId="69404072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$13B</w:t>
            </w:r>
          </w:p>
        </w:tc>
        <w:tc>
          <w:tcPr>
            <w:tcW w:w="0" w:type="auto"/>
            <w:vAlign w:val="center"/>
            <w:hideMark/>
          </w:tcPr>
          <w:p w14:paraId="60F532D9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5.5% – 6.5%</w:t>
            </w:r>
          </w:p>
        </w:tc>
        <w:tc>
          <w:tcPr>
            <w:tcW w:w="0" w:type="auto"/>
            <w:vAlign w:val="center"/>
            <w:hideMark/>
          </w:tcPr>
          <w:p w14:paraId="39AC9C14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Minutes</w:t>
            </w:r>
          </w:p>
        </w:tc>
      </w:tr>
    </w:tbl>
    <w:p w14:paraId="64C3F99A" w14:textId="1240BC78" w:rsid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689D7E63" w14:textId="77777777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4D4B6B7A" w14:textId="77777777" w:rsidR="002C6EF3" w:rsidRPr="002C6EF3" w:rsidRDefault="002C6EF3" w:rsidP="002C6EF3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lastRenderedPageBreak/>
        <w:t>3. East Asia &amp; Pacific (EAP)</w:t>
      </w:r>
    </w:p>
    <w:p w14:paraId="6166FBB0" w14:textId="77777777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Philippines, Vietnam, Indonesia, Thailand (Excludes China)</w:t>
      </w:r>
    </w:p>
    <w:p w14:paraId="46D27D02" w14:textId="77777777" w:rsidR="002C6EF3" w:rsidRPr="002C6EF3" w:rsidRDefault="002C6EF3" w:rsidP="002C6EF3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Total Region Inflow (2024):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~$132 Billion USD</w:t>
      </w:r>
    </w:p>
    <w:p w14:paraId="1412890D" w14:textId="77777777" w:rsidR="002C6EF3" w:rsidRPr="002C6EF3" w:rsidRDefault="002C6EF3" w:rsidP="002C6EF3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Primary Drivers: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USA, Japan, and Hong Kong.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9"/>
        <w:gridCol w:w="2590"/>
        <w:gridCol w:w="1575"/>
        <w:gridCol w:w="1559"/>
        <w:gridCol w:w="1847"/>
      </w:tblGrid>
      <w:tr w:rsidR="002C6EF3" w:rsidRPr="002C6EF3" w14:paraId="04908F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06A9A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Aggregator Category</w:t>
            </w:r>
          </w:p>
        </w:tc>
        <w:tc>
          <w:tcPr>
            <w:tcW w:w="0" w:type="auto"/>
            <w:vAlign w:val="center"/>
            <w:hideMark/>
          </w:tcPr>
          <w:p w14:paraId="44A6563C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Leading Aggregators</w:t>
            </w:r>
          </w:p>
        </w:tc>
        <w:tc>
          <w:tcPr>
            <w:tcW w:w="0" w:type="auto"/>
            <w:vAlign w:val="center"/>
            <w:hideMark/>
          </w:tcPr>
          <w:p w14:paraId="3C470FCB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Est. Volume (USD)</w:t>
            </w:r>
          </w:p>
        </w:tc>
        <w:tc>
          <w:tcPr>
            <w:tcW w:w="0" w:type="auto"/>
            <w:vAlign w:val="center"/>
            <w:hideMark/>
          </w:tcPr>
          <w:p w14:paraId="0D35A9FA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Avg. Total Cost (%)</w:t>
            </w:r>
          </w:p>
        </w:tc>
        <w:tc>
          <w:tcPr>
            <w:tcW w:w="0" w:type="auto"/>
            <w:vAlign w:val="center"/>
            <w:hideMark/>
          </w:tcPr>
          <w:p w14:paraId="5EC69D62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Avg. Settlement Time</w:t>
            </w:r>
          </w:p>
        </w:tc>
      </w:tr>
      <w:tr w:rsidR="002C6EF3" w:rsidRPr="002C6EF3" w14:paraId="57FB1F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FEEFE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Mobile Wallet </w:t>
            </w:r>
            <w:proofErr w:type="spellStart"/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Aggs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B04E34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AlipayHK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GCash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Singtel Dash</w:t>
            </w:r>
          </w:p>
        </w:tc>
        <w:tc>
          <w:tcPr>
            <w:tcW w:w="0" w:type="auto"/>
            <w:vAlign w:val="center"/>
            <w:hideMark/>
          </w:tcPr>
          <w:p w14:paraId="71B5091D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$41B</w:t>
            </w:r>
          </w:p>
        </w:tc>
        <w:tc>
          <w:tcPr>
            <w:tcW w:w="0" w:type="auto"/>
            <w:vAlign w:val="center"/>
            <w:hideMark/>
          </w:tcPr>
          <w:p w14:paraId="492B90C6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2.8% – 3.8%</w:t>
            </w:r>
          </w:p>
        </w:tc>
        <w:tc>
          <w:tcPr>
            <w:tcW w:w="0" w:type="auto"/>
            <w:vAlign w:val="center"/>
            <w:hideMark/>
          </w:tcPr>
          <w:p w14:paraId="275DE3DB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Instant</w:t>
            </w:r>
          </w:p>
        </w:tc>
      </w:tr>
      <w:tr w:rsidR="002C6EF3" w:rsidRPr="002C6EF3" w14:paraId="18A33E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498FE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Global Digital</w:t>
            </w:r>
          </w:p>
        </w:tc>
        <w:tc>
          <w:tcPr>
            <w:tcW w:w="0" w:type="auto"/>
            <w:vAlign w:val="center"/>
            <w:hideMark/>
          </w:tcPr>
          <w:p w14:paraId="436E3691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</w:t>
            </w: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WorldRemit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3040E6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$39B</w:t>
            </w:r>
          </w:p>
        </w:tc>
        <w:tc>
          <w:tcPr>
            <w:tcW w:w="0" w:type="auto"/>
            <w:vAlign w:val="center"/>
            <w:hideMark/>
          </w:tcPr>
          <w:p w14:paraId="3436AACC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3.5% – 4.5%</w:t>
            </w:r>
          </w:p>
        </w:tc>
        <w:tc>
          <w:tcPr>
            <w:tcW w:w="0" w:type="auto"/>
            <w:vAlign w:val="center"/>
            <w:hideMark/>
          </w:tcPr>
          <w:p w14:paraId="304315AC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&lt; 12 Hours</w:t>
            </w:r>
          </w:p>
        </w:tc>
      </w:tr>
      <w:tr w:rsidR="002C6EF3" w:rsidRPr="002C6EF3" w14:paraId="6F4A14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F0317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Traditional MTOs</w:t>
            </w:r>
          </w:p>
        </w:tc>
        <w:tc>
          <w:tcPr>
            <w:tcW w:w="0" w:type="auto"/>
            <w:vAlign w:val="center"/>
            <w:hideMark/>
          </w:tcPr>
          <w:p w14:paraId="5A1677A6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Western Union, MoneyGram</w:t>
            </w:r>
          </w:p>
        </w:tc>
        <w:tc>
          <w:tcPr>
            <w:tcW w:w="0" w:type="auto"/>
            <w:vAlign w:val="center"/>
            <w:hideMark/>
          </w:tcPr>
          <w:p w14:paraId="2AF90388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$32B</w:t>
            </w:r>
          </w:p>
        </w:tc>
        <w:tc>
          <w:tcPr>
            <w:tcW w:w="0" w:type="auto"/>
            <w:vAlign w:val="center"/>
            <w:hideMark/>
          </w:tcPr>
          <w:p w14:paraId="2E094549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5.2% – 6.1%</w:t>
            </w:r>
          </w:p>
        </w:tc>
        <w:tc>
          <w:tcPr>
            <w:tcW w:w="0" w:type="auto"/>
            <w:vAlign w:val="center"/>
            <w:hideMark/>
          </w:tcPr>
          <w:p w14:paraId="34B3C2EF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Minutes</w:t>
            </w:r>
          </w:p>
        </w:tc>
      </w:tr>
      <w:tr w:rsidR="002C6EF3" w:rsidRPr="002C6EF3" w14:paraId="080D32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F7DBC1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Regional Banks</w:t>
            </w:r>
          </w:p>
        </w:tc>
        <w:tc>
          <w:tcPr>
            <w:tcW w:w="0" w:type="auto"/>
            <w:vAlign w:val="center"/>
            <w:hideMark/>
          </w:tcPr>
          <w:p w14:paraId="4AB6425F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Seven Bank (JP), DBS (SG)</w:t>
            </w:r>
          </w:p>
        </w:tc>
        <w:tc>
          <w:tcPr>
            <w:tcW w:w="0" w:type="auto"/>
            <w:vAlign w:val="center"/>
            <w:hideMark/>
          </w:tcPr>
          <w:p w14:paraId="4D1D0663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$20B</w:t>
            </w:r>
          </w:p>
        </w:tc>
        <w:tc>
          <w:tcPr>
            <w:tcW w:w="0" w:type="auto"/>
            <w:vAlign w:val="center"/>
            <w:hideMark/>
          </w:tcPr>
          <w:p w14:paraId="6D8ACF91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4.5% – 5.5%</w:t>
            </w:r>
          </w:p>
        </w:tc>
        <w:tc>
          <w:tcPr>
            <w:tcW w:w="0" w:type="auto"/>
            <w:vAlign w:val="center"/>
            <w:hideMark/>
          </w:tcPr>
          <w:p w14:paraId="0149D215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 Day</w:t>
            </w:r>
          </w:p>
        </w:tc>
      </w:tr>
    </w:tbl>
    <w:p w14:paraId="7D52FA19" w14:textId="1B36F8E1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73517944" w14:textId="77777777" w:rsidR="002C6EF3" w:rsidRPr="002C6EF3" w:rsidRDefault="002C6EF3" w:rsidP="002C6EF3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4. Sub-Saharan Africa (SSA)</w:t>
      </w:r>
    </w:p>
    <w:p w14:paraId="17A628C1" w14:textId="77777777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Nigeria, Kenya, Ghana, Zimbabwe, Ethiopia</w:t>
      </w:r>
    </w:p>
    <w:p w14:paraId="5C76421D" w14:textId="77777777" w:rsidR="002C6EF3" w:rsidRPr="002C6EF3" w:rsidRDefault="002C6EF3" w:rsidP="002C6EF3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Total Region Inflow (2024):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~$54 Billion USD</w:t>
      </w:r>
    </w:p>
    <w:p w14:paraId="3FD32FBF" w14:textId="77777777" w:rsidR="002C6EF3" w:rsidRPr="002C6EF3" w:rsidRDefault="002C6EF3" w:rsidP="002C6EF3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Primary Drivers: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UK, USA, France, and intra-African (South Africa).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472"/>
        <w:gridCol w:w="1590"/>
        <w:gridCol w:w="1594"/>
        <w:gridCol w:w="1861"/>
      </w:tblGrid>
      <w:tr w:rsidR="002C6EF3" w:rsidRPr="002C6EF3" w14:paraId="2C0624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DB8ABB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Aggregator Category</w:t>
            </w:r>
          </w:p>
        </w:tc>
        <w:tc>
          <w:tcPr>
            <w:tcW w:w="0" w:type="auto"/>
            <w:vAlign w:val="center"/>
            <w:hideMark/>
          </w:tcPr>
          <w:p w14:paraId="3865E154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Leading Aggregators</w:t>
            </w:r>
          </w:p>
        </w:tc>
        <w:tc>
          <w:tcPr>
            <w:tcW w:w="0" w:type="auto"/>
            <w:vAlign w:val="center"/>
            <w:hideMark/>
          </w:tcPr>
          <w:p w14:paraId="3782329A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Est. Volume (USD)</w:t>
            </w:r>
          </w:p>
        </w:tc>
        <w:tc>
          <w:tcPr>
            <w:tcW w:w="0" w:type="auto"/>
            <w:vAlign w:val="center"/>
            <w:hideMark/>
          </w:tcPr>
          <w:p w14:paraId="18DC04AE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Avg. Total Cost (%)</w:t>
            </w:r>
          </w:p>
        </w:tc>
        <w:tc>
          <w:tcPr>
            <w:tcW w:w="0" w:type="auto"/>
            <w:vAlign w:val="center"/>
            <w:hideMark/>
          </w:tcPr>
          <w:p w14:paraId="4BAC4CAB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Avg. Settlement Time</w:t>
            </w:r>
          </w:p>
        </w:tc>
      </w:tr>
      <w:tr w:rsidR="002C6EF3" w:rsidRPr="002C6EF3" w14:paraId="5A5067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5D6D3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Pan-African </w:t>
            </w:r>
            <w:proofErr w:type="spellStart"/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Aggs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FF11B4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Mukuru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Mama Money, Wave</w:t>
            </w:r>
          </w:p>
        </w:tc>
        <w:tc>
          <w:tcPr>
            <w:tcW w:w="0" w:type="auto"/>
            <w:vAlign w:val="center"/>
            <w:hideMark/>
          </w:tcPr>
          <w:p w14:paraId="1856F0F3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$18B</w:t>
            </w:r>
          </w:p>
        </w:tc>
        <w:tc>
          <w:tcPr>
            <w:tcW w:w="0" w:type="auto"/>
            <w:vAlign w:val="center"/>
            <w:hideMark/>
          </w:tcPr>
          <w:p w14:paraId="5A665A7D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6.5% – 8.5%</w:t>
            </w:r>
          </w:p>
        </w:tc>
        <w:tc>
          <w:tcPr>
            <w:tcW w:w="0" w:type="auto"/>
            <w:vAlign w:val="center"/>
            <w:hideMark/>
          </w:tcPr>
          <w:p w14:paraId="23AA60CD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Minutes</w:t>
            </w:r>
          </w:p>
        </w:tc>
      </w:tr>
      <w:tr w:rsidR="002C6EF3" w:rsidRPr="002C6EF3" w14:paraId="2EC61C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ABCAD7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Global Digital</w:t>
            </w:r>
          </w:p>
        </w:tc>
        <w:tc>
          <w:tcPr>
            <w:tcW w:w="0" w:type="auto"/>
            <w:vAlign w:val="center"/>
            <w:hideMark/>
          </w:tcPr>
          <w:p w14:paraId="2E9174FF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WorldRemit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TapTap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Send</w:t>
            </w:r>
          </w:p>
        </w:tc>
        <w:tc>
          <w:tcPr>
            <w:tcW w:w="0" w:type="auto"/>
            <w:vAlign w:val="center"/>
            <w:hideMark/>
          </w:tcPr>
          <w:p w14:paraId="1D421AC7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$16B</w:t>
            </w:r>
          </w:p>
        </w:tc>
        <w:tc>
          <w:tcPr>
            <w:tcW w:w="0" w:type="auto"/>
            <w:vAlign w:val="center"/>
            <w:hideMark/>
          </w:tcPr>
          <w:p w14:paraId="0C0A0A5B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5.8% – 7.2%</w:t>
            </w:r>
          </w:p>
        </w:tc>
        <w:tc>
          <w:tcPr>
            <w:tcW w:w="0" w:type="auto"/>
            <w:vAlign w:val="center"/>
            <w:hideMark/>
          </w:tcPr>
          <w:p w14:paraId="783BF22A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Instant (Wallet)</w:t>
            </w:r>
          </w:p>
        </w:tc>
      </w:tr>
      <w:tr w:rsidR="002C6EF3" w:rsidRPr="002C6EF3" w14:paraId="3254F9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DACD0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Traditional MTOs</w:t>
            </w:r>
          </w:p>
        </w:tc>
        <w:tc>
          <w:tcPr>
            <w:tcW w:w="0" w:type="auto"/>
            <w:vAlign w:val="center"/>
            <w:hideMark/>
          </w:tcPr>
          <w:p w14:paraId="361B5CEA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Western Union, MoneyGram</w:t>
            </w:r>
          </w:p>
        </w:tc>
        <w:tc>
          <w:tcPr>
            <w:tcW w:w="0" w:type="auto"/>
            <w:vAlign w:val="center"/>
            <w:hideMark/>
          </w:tcPr>
          <w:p w14:paraId="52C83D12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$12B</w:t>
            </w:r>
          </w:p>
        </w:tc>
        <w:tc>
          <w:tcPr>
            <w:tcW w:w="0" w:type="auto"/>
            <w:vAlign w:val="center"/>
            <w:hideMark/>
          </w:tcPr>
          <w:p w14:paraId="66DBCC74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8.5% – 10.5%</w:t>
            </w:r>
          </w:p>
        </w:tc>
        <w:tc>
          <w:tcPr>
            <w:tcW w:w="0" w:type="auto"/>
            <w:vAlign w:val="center"/>
            <w:hideMark/>
          </w:tcPr>
          <w:p w14:paraId="193F7415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Minutes (Cash)</w:t>
            </w:r>
          </w:p>
        </w:tc>
      </w:tr>
      <w:tr w:rsidR="002C6EF3" w:rsidRPr="002C6EF3" w14:paraId="731DBB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F0CF3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Fintech/Neo-Banks</w:t>
            </w:r>
          </w:p>
        </w:tc>
        <w:tc>
          <w:tcPr>
            <w:tcW w:w="0" w:type="auto"/>
            <w:vAlign w:val="center"/>
            <w:hideMark/>
          </w:tcPr>
          <w:p w14:paraId="6DD0878A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Flutterwave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Chipper Cash</w:t>
            </w:r>
          </w:p>
        </w:tc>
        <w:tc>
          <w:tcPr>
            <w:tcW w:w="0" w:type="auto"/>
            <w:vAlign w:val="center"/>
            <w:hideMark/>
          </w:tcPr>
          <w:p w14:paraId="73EC9AFD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$8B</w:t>
            </w:r>
          </w:p>
        </w:tc>
        <w:tc>
          <w:tcPr>
            <w:tcW w:w="0" w:type="auto"/>
            <w:vAlign w:val="center"/>
            <w:hideMark/>
          </w:tcPr>
          <w:p w14:paraId="5702C9D4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6.2% – 7.8%</w:t>
            </w:r>
          </w:p>
        </w:tc>
        <w:tc>
          <w:tcPr>
            <w:tcW w:w="0" w:type="auto"/>
            <w:vAlign w:val="center"/>
            <w:hideMark/>
          </w:tcPr>
          <w:p w14:paraId="2105B5D7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 – 2 Days</w:t>
            </w:r>
          </w:p>
        </w:tc>
      </w:tr>
    </w:tbl>
    <w:p w14:paraId="56A32895" w14:textId="7C30C4B1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4C58B79E" w14:textId="77777777" w:rsidR="002C6EF3" w:rsidRPr="002C6EF3" w:rsidRDefault="002C6EF3" w:rsidP="002C6EF3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5. Middle East &amp; North Africa (MENA)</w:t>
      </w:r>
    </w:p>
    <w:p w14:paraId="0288F9ED" w14:textId="77777777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Egypt, Morocco, Lebanon, Jordan, Yemen</w:t>
      </w:r>
    </w:p>
    <w:p w14:paraId="5BE89E30" w14:textId="77777777" w:rsidR="002C6EF3" w:rsidRPr="002C6EF3" w:rsidRDefault="002C6EF3" w:rsidP="002C6EF3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Total Region Inflow (2024):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~$62 Billion USD</w:t>
      </w:r>
    </w:p>
    <w:p w14:paraId="06096DE9" w14:textId="77777777" w:rsidR="002C6EF3" w:rsidRDefault="002C6EF3" w:rsidP="002C6EF3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Primary Drivers: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GCC and EU (France/Italy/Spain).</w:t>
      </w:r>
    </w:p>
    <w:p w14:paraId="5C144FA2" w14:textId="77777777" w:rsidR="002C6EF3" w:rsidRPr="002C6EF3" w:rsidRDefault="002C6EF3" w:rsidP="002C6EF3">
      <w:pPr>
        <w:spacing w:after="120" w:line="240" w:lineRule="auto"/>
        <w:ind w:left="720"/>
        <w:rPr>
          <w:rFonts w:eastAsia="Times New Roman" w:cs="Times New Roman"/>
          <w:kern w:val="0"/>
          <w:sz w:val="21"/>
          <w:szCs w:val="21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2693"/>
        <w:gridCol w:w="1536"/>
        <w:gridCol w:w="1492"/>
        <w:gridCol w:w="1855"/>
      </w:tblGrid>
      <w:tr w:rsidR="002C6EF3" w:rsidRPr="002C6EF3" w14:paraId="0CA83D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A3F4A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lastRenderedPageBreak/>
              <w:t>Aggregator Category</w:t>
            </w:r>
          </w:p>
        </w:tc>
        <w:tc>
          <w:tcPr>
            <w:tcW w:w="0" w:type="auto"/>
            <w:vAlign w:val="center"/>
            <w:hideMark/>
          </w:tcPr>
          <w:p w14:paraId="13EAC3D7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Leading Aggregators</w:t>
            </w:r>
          </w:p>
        </w:tc>
        <w:tc>
          <w:tcPr>
            <w:tcW w:w="0" w:type="auto"/>
            <w:vAlign w:val="center"/>
            <w:hideMark/>
          </w:tcPr>
          <w:p w14:paraId="3067CD4C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Volume (USD)</w:t>
            </w:r>
          </w:p>
        </w:tc>
        <w:tc>
          <w:tcPr>
            <w:tcW w:w="0" w:type="auto"/>
            <w:vAlign w:val="center"/>
            <w:hideMark/>
          </w:tcPr>
          <w:p w14:paraId="193BAD4F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Total Cost (%)</w:t>
            </w:r>
          </w:p>
        </w:tc>
        <w:tc>
          <w:tcPr>
            <w:tcW w:w="0" w:type="auto"/>
            <w:vAlign w:val="center"/>
            <w:hideMark/>
          </w:tcPr>
          <w:p w14:paraId="21747B3B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Settlement Time</w:t>
            </w:r>
          </w:p>
        </w:tc>
      </w:tr>
      <w:tr w:rsidR="002C6EF3" w:rsidRPr="002C6EF3" w14:paraId="6D3F07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C6B1C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GCC-Based </w:t>
            </w:r>
            <w:proofErr w:type="spellStart"/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Aggs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B5E491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Al Muzaini, Al Fardan, </w:t>
            </w: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Ersal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0E6EE2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$28B</w:t>
            </w:r>
          </w:p>
        </w:tc>
        <w:tc>
          <w:tcPr>
            <w:tcW w:w="0" w:type="auto"/>
            <w:vAlign w:val="center"/>
            <w:hideMark/>
          </w:tcPr>
          <w:p w14:paraId="6CC0B6A1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4.2% – 5.5%</w:t>
            </w:r>
          </w:p>
        </w:tc>
        <w:tc>
          <w:tcPr>
            <w:tcW w:w="0" w:type="auto"/>
            <w:vAlign w:val="center"/>
            <w:hideMark/>
          </w:tcPr>
          <w:p w14:paraId="382B3939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&lt; 4 Hours</w:t>
            </w:r>
          </w:p>
        </w:tc>
      </w:tr>
      <w:tr w:rsidR="002C6EF3" w:rsidRPr="002C6EF3" w14:paraId="1B47D0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20092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Traditional MTOs</w:t>
            </w:r>
          </w:p>
        </w:tc>
        <w:tc>
          <w:tcPr>
            <w:tcW w:w="0" w:type="auto"/>
            <w:vAlign w:val="center"/>
            <w:hideMark/>
          </w:tcPr>
          <w:p w14:paraId="1BACB230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Western Union, Ria</w:t>
            </w:r>
          </w:p>
        </w:tc>
        <w:tc>
          <w:tcPr>
            <w:tcW w:w="0" w:type="auto"/>
            <w:vAlign w:val="center"/>
            <w:hideMark/>
          </w:tcPr>
          <w:p w14:paraId="4B3CAA69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$18B</w:t>
            </w:r>
          </w:p>
        </w:tc>
        <w:tc>
          <w:tcPr>
            <w:tcW w:w="0" w:type="auto"/>
            <w:vAlign w:val="center"/>
            <w:hideMark/>
          </w:tcPr>
          <w:p w14:paraId="71626937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6.1% – 7.5%</w:t>
            </w:r>
          </w:p>
        </w:tc>
        <w:tc>
          <w:tcPr>
            <w:tcW w:w="0" w:type="auto"/>
            <w:vAlign w:val="center"/>
            <w:hideMark/>
          </w:tcPr>
          <w:p w14:paraId="676B5279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Minutes</w:t>
            </w:r>
          </w:p>
        </w:tc>
      </w:tr>
      <w:tr w:rsidR="002C6EF3" w:rsidRPr="002C6EF3" w14:paraId="35332F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9E229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European </w:t>
            </w:r>
            <w:proofErr w:type="spellStart"/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Aggs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06064D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Orange Money, Wise, </w:t>
            </w: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2C95C8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$11B</w:t>
            </w:r>
          </w:p>
        </w:tc>
        <w:tc>
          <w:tcPr>
            <w:tcW w:w="0" w:type="auto"/>
            <w:vAlign w:val="center"/>
            <w:hideMark/>
          </w:tcPr>
          <w:p w14:paraId="407B0361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4.8% – 6.2%</w:t>
            </w:r>
          </w:p>
        </w:tc>
        <w:tc>
          <w:tcPr>
            <w:tcW w:w="0" w:type="auto"/>
            <w:vAlign w:val="center"/>
            <w:hideMark/>
          </w:tcPr>
          <w:p w14:paraId="4A3D8564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 Day</w:t>
            </w:r>
          </w:p>
        </w:tc>
      </w:tr>
      <w:tr w:rsidR="002C6EF3" w:rsidRPr="002C6EF3" w14:paraId="6DE65C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EA012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Local Banks</w:t>
            </w:r>
          </w:p>
        </w:tc>
        <w:tc>
          <w:tcPr>
            <w:tcW w:w="0" w:type="auto"/>
            <w:vAlign w:val="center"/>
            <w:hideMark/>
          </w:tcPr>
          <w:p w14:paraId="513F8C9C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Banque Misr (EG), </w:t>
            </w: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Attijariwafa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(MA)</w:t>
            </w:r>
          </w:p>
        </w:tc>
        <w:tc>
          <w:tcPr>
            <w:tcW w:w="0" w:type="auto"/>
            <w:vAlign w:val="center"/>
            <w:hideMark/>
          </w:tcPr>
          <w:p w14:paraId="0E020DBF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$5B</w:t>
            </w:r>
          </w:p>
        </w:tc>
        <w:tc>
          <w:tcPr>
            <w:tcW w:w="0" w:type="auto"/>
            <w:vAlign w:val="center"/>
            <w:hideMark/>
          </w:tcPr>
          <w:p w14:paraId="7FD62064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5.5% – 6.8%</w:t>
            </w:r>
          </w:p>
        </w:tc>
        <w:tc>
          <w:tcPr>
            <w:tcW w:w="0" w:type="auto"/>
            <w:vAlign w:val="center"/>
            <w:hideMark/>
          </w:tcPr>
          <w:p w14:paraId="54A58B85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 Days</w:t>
            </w:r>
          </w:p>
        </w:tc>
      </w:tr>
    </w:tbl>
    <w:p w14:paraId="3974F67A" w14:textId="75F6B10F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57206C61" w14:textId="77777777" w:rsidR="002C6EF3" w:rsidRPr="002C6EF3" w:rsidRDefault="002C6EF3" w:rsidP="002C6EF3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6. Europe &amp; Central Asia (ECA)</w:t>
      </w:r>
    </w:p>
    <w:p w14:paraId="11EA98B6" w14:textId="77777777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Ukraine, Uzbekistan, Kyrgyzstan, Tajikistan, Georgia</w:t>
      </w:r>
    </w:p>
    <w:p w14:paraId="6FF13EED" w14:textId="77777777" w:rsidR="002C6EF3" w:rsidRPr="002C6EF3" w:rsidRDefault="002C6EF3" w:rsidP="002C6EF3">
      <w:pPr>
        <w:numPr>
          <w:ilvl w:val="0"/>
          <w:numId w:val="6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Total Region Inflow (2024):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~$79 Billion USD</w:t>
      </w:r>
    </w:p>
    <w:p w14:paraId="15080EE0" w14:textId="77777777" w:rsidR="002C6EF3" w:rsidRPr="002C6EF3" w:rsidRDefault="002C6EF3" w:rsidP="002C6EF3">
      <w:pPr>
        <w:numPr>
          <w:ilvl w:val="0"/>
          <w:numId w:val="6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Primary Drivers: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EU (Poland/Germany) and Russia.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2569"/>
        <w:gridCol w:w="1566"/>
        <w:gridCol w:w="1530"/>
        <w:gridCol w:w="1883"/>
      </w:tblGrid>
      <w:tr w:rsidR="002C6EF3" w:rsidRPr="002C6EF3" w14:paraId="528603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2F55C1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Aggregator Category</w:t>
            </w:r>
          </w:p>
        </w:tc>
        <w:tc>
          <w:tcPr>
            <w:tcW w:w="0" w:type="auto"/>
            <w:vAlign w:val="center"/>
            <w:hideMark/>
          </w:tcPr>
          <w:p w14:paraId="3FF9B7A9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Leading Aggregators</w:t>
            </w:r>
          </w:p>
        </w:tc>
        <w:tc>
          <w:tcPr>
            <w:tcW w:w="0" w:type="auto"/>
            <w:vAlign w:val="center"/>
            <w:hideMark/>
          </w:tcPr>
          <w:p w14:paraId="6A07B39F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Volume (USD)</w:t>
            </w:r>
          </w:p>
        </w:tc>
        <w:tc>
          <w:tcPr>
            <w:tcW w:w="0" w:type="auto"/>
            <w:vAlign w:val="center"/>
            <w:hideMark/>
          </w:tcPr>
          <w:p w14:paraId="4482C3D0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Total Cost (%)</w:t>
            </w:r>
          </w:p>
        </w:tc>
        <w:tc>
          <w:tcPr>
            <w:tcW w:w="0" w:type="auto"/>
            <w:vAlign w:val="center"/>
            <w:hideMark/>
          </w:tcPr>
          <w:p w14:paraId="679ECF5D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Settlement Time</w:t>
            </w:r>
          </w:p>
        </w:tc>
      </w:tr>
      <w:tr w:rsidR="002C6EF3" w:rsidRPr="002C6EF3" w14:paraId="146D22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4ABC4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Regional </w:t>
            </w:r>
            <w:proofErr w:type="spellStart"/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Aggs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7E7E55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KoronaPay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TransferGo</w:t>
            </w:r>
            <w:proofErr w:type="spellEnd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Paysera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C14DBC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$34B</w:t>
            </w:r>
          </w:p>
        </w:tc>
        <w:tc>
          <w:tcPr>
            <w:tcW w:w="0" w:type="auto"/>
            <w:vAlign w:val="center"/>
            <w:hideMark/>
          </w:tcPr>
          <w:p w14:paraId="34CFEA62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3.5% – 4.8%</w:t>
            </w:r>
          </w:p>
        </w:tc>
        <w:tc>
          <w:tcPr>
            <w:tcW w:w="0" w:type="auto"/>
            <w:vAlign w:val="center"/>
            <w:hideMark/>
          </w:tcPr>
          <w:p w14:paraId="275F7736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&lt; 1 Day</w:t>
            </w:r>
          </w:p>
        </w:tc>
      </w:tr>
      <w:tr w:rsidR="002C6EF3" w:rsidRPr="002C6EF3" w14:paraId="260F65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6C71E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Global Digital</w:t>
            </w:r>
          </w:p>
        </w:tc>
        <w:tc>
          <w:tcPr>
            <w:tcW w:w="0" w:type="auto"/>
            <w:vAlign w:val="center"/>
            <w:hideMark/>
          </w:tcPr>
          <w:p w14:paraId="7FA1A60F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Wise, Revolut</w:t>
            </w:r>
          </w:p>
        </w:tc>
        <w:tc>
          <w:tcPr>
            <w:tcW w:w="0" w:type="auto"/>
            <w:vAlign w:val="center"/>
            <w:hideMark/>
          </w:tcPr>
          <w:p w14:paraId="776C7752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$21B</w:t>
            </w:r>
          </w:p>
        </w:tc>
        <w:tc>
          <w:tcPr>
            <w:tcW w:w="0" w:type="auto"/>
            <w:vAlign w:val="center"/>
            <w:hideMark/>
          </w:tcPr>
          <w:p w14:paraId="172A77F5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2.1% – 3.5%</w:t>
            </w:r>
          </w:p>
        </w:tc>
        <w:tc>
          <w:tcPr>
            <w:tcW w:w="0" w:type="auto"/>
            <w:vAlign w:val="center"/>
            <w:hideMark/>
          </w:tcPr>
          <w:p w14:paraId="5348AC86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Instant</w:t>
            </w:r>
          </w:p>
        </w:tc>
      </w:tr>
      <w:tr w:rsidR="002C6EF3" w:rsidRPr="002C6EF3" w14:paraId="1A3834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A2B2C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Traditional MTOs</w:t>
            </w:r>
          </w:p>
        </w:tc>
        <w:tc>
          <w:tcPr>
            <w:tcW w:w="0" w:type="auto"/>
            <w:vAlign w:val="center"/>
            <w:hideMark/>
          </w:tcPr>
          <w:p w14:paraId="16470211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Western Union, MoneyGram</w:t>
            </w:r>
          </w:p>
        </w:tc>
        <w:tc>
          <w:tcPr>
            <w:tcW w:w="0" w:type="auto"/>
            <w:vAlign w:val="center"/>
            <w:hideMark/>
          </w:tcPr>
          <w:p w14:paraId="3D26F9CD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$15B</w:t>
            </w:r>
          </w:p>
        </w:tc>
        <w:tc>
          <w:tcPr>
            <w:tcW w:w="0" w:type="auto"/>
            <w:vAlign w:val="center"/>
            <w:hideMark/>
          </w:tcPr>
          <w:p w14:paraId="1B4A0D15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5.5% – 6.5%</w:t>
            </w:r>
          </w:p>
        </w:tc>
        <w:tc>
          <w:tcPr>
            <w:tcW w:w="0" w:type="auto"/>
            <w:vAlign w:val="center"/>
            <w:hideMark/>
          </w:tcPr>
          <w:p w14:paraId="02E4AFC8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Minutes</w:t>
            </w:r>
          </w:p>
        </w:tc>
      </w:tr>
      <w:tr w:rsidR="002C6EF3" w:rsidRPr="002C6EF3" w14:paraId="12B49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9FFC6" w14:textId="77777777" w:rsidR="002C6EF3" w:rsidRPr="002C6EF3" w:rsidRDefault="002C6EF3" w:rsidP="002C6EF3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Bank Networks</w:t>
            </w:r>
          </w:p>
        </w:tc>
        <w:tc>
          <w:tcPr>
            <w:tcW w:w="0" w:type="auto"/>
            <w:vAlign w:val="center"/>
            <w:hideMark/>
          </w:tcPr>
          <w:p w14:paraId="4116556D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PKO Bank, Raiffeisen</w:t>
            </w:r>
          </w:p>
        </w:tc>
        <w:tc>
          <w:tcPr>
            <w:tcW w:w="0" w:type="auto"/>
            <w:vAlign w:val="center"/>
            <w:hideMark/>
          </w:tcPr>
          <w:p w14:paraId="10D8123D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$9B</w:t>
            </w:r>
          </w:p>
        </w:tc>
        <w:tc>
          <w:tcPr>
            <w:tcW w:w="0" w:type="auto"/>
            <w:vAlign w:val="center"/>
            <w:hideMark/>
          </w:tcPr>
          <w:p w14:paraId="4C406741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4.5% – 5.8%</w:t>
            </w:r>
          </w:p>
        </w:tc>
        <w:tc>
          <w:tcPr>
            <w:tcW w:w="0" w:type="auto"/>
            <w:vAlign w:val="center"/>
            <w:hideMark/>
          </w:tcPr>
          <w:p w14:paraId="5DC61230" w14:textId="77777777" w:rsidR="002C6EF3" w:rsidRPr="002C6EF3" w:rsidRDefault="002C6EF3" w:rsidP="002C6EF3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2C6EF3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 – 2 Days</w:t>
            </w:r>
          </w:p>
        </w:tc>
      </w:tr>
    </w:tbl>
    <w:p w14:paraId="346AFAFE" w14:textId="64964F48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072BB273" w14:textId="77777777" w:rsidR="002C6EF3" w:rsidRPr="002C6EF3" w:rsidRDefault="002C6EF3" w:rsidP="002C6EF3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2C6EF3">
        <w:rPr>
          <w:rFonts w:eastAsia="Times New Roman" w:cs="Times New Roman"/>
          <w:b/>
          <w:bCs/>
          <w:kern w:val="0"/>
          <w14:ligatures w14:val="none"/>
        </w:rPr>
        <w:t>Summary of 2024 Trends</w:t>
      </w:r>
    </w:p>
    <w:p w14:paraId="3269A6E4" w14:textId="77777777" w:rsidR="002C6EF3" w:rsidRPr="002C6EF3" w:rsidRDefault="002C6EF3" w:rsidP="002C6EF3">
      <w:pPr>
        <w:numPr>
          <w:ilvl w:val="0"/>
          <w:numId w:val="7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Cost: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The global average cost to send $200 to an LMIC in 2024 was </w:t>
      </w: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6.21%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. Digital-first aggregators (Wise, </w:t>
      </w:r>
      <w:proofErr w:type="spellStart"/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>Remitly</w:t>
      </w:r>
      <w:proofErr w:type="spellEnd"/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>, Revolut) consistently stayed below the 4.5% threshold, whereas cash-to-cash providers remained significantly higher.</w:t>
      </w:r>
    </w:p>
    <w:p w14:paraId="1A344CC0" w14:textId="77777777" w:rsidR="002C6EF3" w:rsidRPr="002C6EF3" w:rsidRDefault="002C6EF3" w:rsidP="002C6EF3">
      <w:pPr>
        <w:numPr>
          <w:ilvl w:val="0"/>
          <w:numId w:val="7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Settlement Speed: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"Instant" (under 1 minute) became the industry standard for </w:t>
      </w: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Wallet-to-Wallet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transfers, now accounting for </w:t>
      </w: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28% of all LMIC inflows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>, up from 18% in 2022.</w:t>
      </w:r>
    </w:p>
    <w:p w14:paraId="63712602" w14:textId="77777777" w:rsidR="002C6EF3" w:rsidRPr="002C6EF3" w:rsidRDefault="002C6EF3" w:rsidP="002C6EF3">
      <w:pPr>
        <w:numPr>
          <w:ilvl w:val="0"/>
          <w:numId w:val="7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Aggregator Shift: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Digital-first aggregators captured an estimated </w:t>
      </w: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42% of the total global retail market share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in 2024, a 5% increase year-over-year, largely at the expense of traditional bank-wire systems and local agent networks.</w:t>
      </w:r>
    </w:p>
    <w:p w14:paraId="06CC06C7" w14:textId="77777777" w:rsidR="002C6EF3" w:rsidRPr="002C6EF3" w:rsidRDefault="002C6EF3" w:rsidP="002C6EF3">
      <w:pPr>
        <w:numPr>
          <w:ilvl w:val="0"/>
          <w:numId w:val="7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The "Netting" Factor: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Approximately </w:t>
      </w: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12-15%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of the volumes listed above are settled via internal netting (mirroring) by aggregators like </w:t>
      </w:r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Wise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proofErr w:type="spellStart"/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stc</w:t>
      </w:r>
      <w:proofErr w:type="spellEnd"/>
      <w:r w:rsidRPr="002C6EF3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 pay</w:t>
      </w:r>
      <w:r w:rsidRPr="002C6EF3">
        <w:rPr>
          <w:rFonts w:eastAsia="Times New Roman" w:cs="Times New Roman"/>
          <w:kern w:val="0"/>
          <w:sz w:val="21"/>
          <w:szCs w:val="21"/>
          <w14:ligatures w14:val="none"/>
        </w:rPr>
        <w:t>, where money never technically crosses a border, dramatically reducing their internal settlement costs and passing some savings to users.</w:t>
      </w:r>
    </w:p>
    <w:p w14:paraId="34E587C5" w14:textId="77777777" w:rsidR="002C6EF3" w:rsidRDefault="002C6EF3" w:rsidP="002C6EF3">
      <w:pPr>
        <w:spacing w:after="120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5C2CB0EC" w14:textId="123FCE99" w:rsidR="002C6EF3" w:rsidRPr="002C6EF3" w:rsidRDefault="002C6EF3" w:rsidP="002C6EF3">
      <w:pPr>
        <w:spacing w:after="120" w:line="240" w:lineRule="auto"/>
        <w:rPr>
          <w:rFonts w:eastAsia="Times New Roman" w:cs="Times New Roman"/>
          <w:kern w:val="0"/>
          <w14:ligatures w14:val="none"/>
        </w:rPr>
      </w:pPr>
      <w:r w:rsidRPr="002C6EF3">
        <w:rPr>
          <w:rFonts w:eastAsia="Times New Roman" w:cs="Times New Roman"/>
          <w:b/>
          <w:bCs/>
          <w:kern w:val="0"/>
          <w14:ligatures w14:val="none"/>
        </w:rPr>
        <w:lastRenderedPageBreak/>
        <w:t>Data Sources:</w:t>
      </w:r>
    </w:p>
    <w:p w14:paraId="398C2327" w14:textId="77777777" w:rsidR="002C6EF3" w:rsidRPr="002C6EF3" w:rsidRDefault="002C6EF3" w:rsidP="002C6EF3">
      <w:pPr>
        <w:numPr>
          <w:ilvl w:val="0"/>
          <w:numId w:val="8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World Bank Remittance Prices Worldwide (RPW) – Full Year 2024 Analysis.</w:t>
      </w:r>
    </w:p>
    <w:p w14:paraId="502D6BB4" w14:textId="77777777" w:rsidR="002C6EF3" w:rsidRPr="002C6EF3" w:rsidRDefault="002C6EF3" w:rsidP="002C6EF3">
      <w:pPr>
        <w:numPr>
          <w:ilvl w:val="0"/>
          <w:numId w:val="8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KNOMAD Migration and Development Brief 41 (Dec 2024).</w:t>
      </w:r>
    </w:p>
    <w:p w14:paraId="7989BEBD" w14:textId="77777777" w:rsidR="002C6EF3" w:rsidRPr="002C6EF3" w:rsidRDefault="002C6EF3" w:rsidP="002C6EF3">
      <w:pPr>
        <w:numPr>
          <w:ilvl w:val="0"/>
          <w:numId w:val="8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FXC Intelligence: Cross-Border Payments Strategy Reports 2025.</w:t>
      </w:r>
    </w:p>
    <w:p w14:paraId="34675D82" w14:textId="77777777" w:rsidR="002C6EF3" w:rsidRPr="002C6EF3" w:rsidRDefault="002C6EF3" w:rsidP="002C6EF3">
      <w:pPr>
        <w:numPr>
          <w:ilvl w:val="0"/>
          <w:numId w:val="8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2C6EF3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Regional Central Bank Reports (SAMA, RBI, BSP).</w:t>
      </w:r>
    </w:p>
    <w:p w14:paraId="5C009363" w14:textId="77777777" w:rsidR="00A03483" w:rsidRPr="002C6EF3" w:rsidRDefault="00A03483" w:rsidP="002C6EF3">
      <w:pPr>
        <w:spacing w:after="120" w:line="240" w:lineRule="auto"/>
        <w:rPr>
          <w:sz w:val="21"/>
          <w:szCs w:val="21"/>
        </w:rPr>
      </w:pPr>
    </w:p>
    <w:sectPr w:rsidR="00A03483" w:rsidRPr="002C6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256CA"/>
    <w:multiLevelType w:val="multilevel"/>
    <w:tmpl w:val="A8DE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378FD"/>
    <w:multiLevelType w:val="multilevel"/>
    <w:tmpl w:val="BA4C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68635F"/>
    <w:multiLevelType w:val="multilevel"/>
    <w:tmpl w:val="0F40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3143C5"/>
    <w:multiLevelType w:val="multilevel"/>
    <w:tmpl w:val="4C62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CC727E"/>
    <w:multiLevelType w:val="multilevel"/>
    <w:tmpl w:val="6CA0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6F1ABB"/>
    <w:multiLevelType w:val="multilevel"/>
    <w:tmpl w:val="5B10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3E105B"/>
    <w:multiLevelType w:val="multilevel"/>
    <w:tmpl w:val="4052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14663"/>
    <w:multiLevelType w:val="multilevel"/>
    <w:tmpl w:val="1960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138950">
    <w:abstractNumId w:val="4"/>
  </w:num>
  <w:num w:numId="2" w16cid:durableId="669254476">
    <w:abstractNumId w:val="5"/>
  </w:num>
  <w:num w:numId="3" w16cid:durableId="1821115989">
    <w:abstractNumId w:val="2"/>
  </w:num>
  <w:num w:numId="4" w16cid:durableId="164974262">
    <w:abstractNumId w:val="3"/>
  </w:num>
  <w:num w:numId="5" w16cid:durableId="1324964682">
    <w:abstractNumId w:val="0"/>
  </w:num>
  <w:num w:numId="6" w16cid:durableId="1636375842">
    <w:abstractNumId w:val="1"/>
  </w:num>
  <w:num w:numId="7" w16cid:durableId="1292592561">
    <w:abstractNumId w:val="6"/>
  </w:num>
  <w:num w:numId="8" w16cid:durableId="835762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wtTS3MDEyA3KMLZR0lIJTi4sz8/NACgxrAV3l/K8sAAAA"/>
  </w:docVars>
  <w:rsids>
    <w:rsidRoot w:val="002C6EF3"/>
    <w:rsid w:val="002C6EF3"/>
    <w:rsid w:val="005020E7"/>
    <w:rsid w:val="00772E7E"/>
    <w:rsid w:val="008527B7"/>
    <w:rsid w:val="0098613E"/>
    <w:rsid w:val="00A03483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1917B"/>
  <w15:chartTrackingRefBased/>
  <w15:docId w15:val="{24C04038-631F-42E5-B47B-BF02E1A0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6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6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C6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E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E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E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E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EF3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2C6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2C6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722</Words>
  <Characters>4232</Characters>
  <Application>Microsoft Office Word</Application>
  <DocSecurity>0</DocSecurity>
  <Lines>248</Lines>
  <Paragraphs>215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2</cp:revision>
  <dcterms:created xsi:type="dcterms:W3CDTF">2026-02-06T13:56:00Z</dcterms:created>
  <dcterms:modified xsi:type="dcterms:W3CDTF">2026-02-06T14:01:00Z</dcterms:modified>
</cp:coreProperties>
</file>