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1608F" w14:textId="77777777" w:rsidR="00CD06A3" w:rsidRPr="00CD06A3" w:rsidRDefault="00CD06A3" w:rsidP="00CD06A3">
      <w:pPr>
        <w:shd w:val="clear" w:color="auto" w:fill="FFFFFF"/>
        <w:spacing w:after="270" w:line="300" w:lineRule="atLeast"/>
        <w:rPr>
          <w:rFonts w:ascii="Arial" w:eastAsia="Times New Roman" w:hAnsi="Arial" w:cs="Arial"/>
          <w:color w:val="1A1C1E"/>
          <w:kern w:val="0"/>
          <w:sz w:val="21"/>
          <w:szCs w:val="21"/>
          <w14:ligatures w14:val="none"/>
        </w:rPr>
      </w:pPr>
      <w:r w:rsidRPr="00CD06A3">
        <w:rPr>
          <w:rFonts w:ascii="Arial" w:eastAsia="Times New Roman" w:hAnsi="Arial" w:cs="Arial"/>
          <w:color w:val="1A1C1E"/>
          <w:kern w:val="0"/>
          <w:sz w:val="21"/>
          <w:szCs w:val="21"/>
          <w14:ligatures w14:val="none"/>
        </w:rPr>
        <w:t>In the current regulatory and economic landscape of 2025–2026, </w:t>
      </w:r>
      <w:r w:rsidRPr="00CD06A3">
        <w:rPr>
          <w:rFonts w:ascii="Arial" w:eastAsia="Times New Roman" w:hAnsi="Arial" w:cs="Arial"/>
          <w:b/>
          <w:bCs/>
          <w:color w:val="1A1C1E"/>
          <w:kern w:val="0"/>
          <w:sz w:val="21"/>
          <w:szCs w:val="21"/>
          <w14:ligatures w14:val="none"/>
        </w:rPr>
        <w:t>Egypt and Lebanon have very different stances on netting</w:t>
      </w:r>
      <w:r w:rsidRPr="00CD06A3">
        <w:rPr>
          <w:rFonts w:ascii="Arial" w:eastAsia="Times New Roman" w:hAnsi="Arial" w:cs="Arial"/>
          <w:color w:val="1A1C1E"/>
          <w:kern w:val="0"/>
          <w:sz w:val="21"/>
          <w:szCs w:val="21"/>
          <w14:ligatures w14:val="none"/>
        </w:rPr>
        <w:t>, driven by their respective financial crises and central bank priorities.</w:t>
      </w:r>
    </w:p>
    <w:p w14:paraId="40C23FEA" w14:textId="77777777" w:rsidR="00CD06A3" w:rsidRPr="00CD06A3" w:rsidRDefault="00CD06A3" w:rsidP="00CD06A3">
      <w:pPr>
        <w:spacing w:before="240" w:after="240" w:line="240" w:lineRule="auto"/>
        <w:rPr>
          <w:rFonts w:ascii="Arial" w:eastAsia="Times New Roman" w:hAnsi="Arial" w:cs="Arial"/>
          <w:kern w:val="0"/>
          <w:sz w:val="21"/>
          <w:szCs w:val="21"/>
          <w14:ligatures w14:val="none"/>
        </w:rPr>
      </w:pPr>
      <w:r w:rsidRPr="00CD06A3">
        <w:rPr>
          <w:rFonts w:ascii="Times New Roman" w:eastAsia="Times New Roman" w:hAnsi="Times New Roman" w:cs="Times New Roman"/>
          <w:kern w:val="0"/>
          <w14:ligatures w14:val="none"/>
        </w:rPr>
        <w:pict w14:anchorId="6E53CD5A">
          <v:rect id="_x0000_i1025" style="width:712.8pt;height:1.5pt" o:hrpct="0" o:hralign="center" o:hrstd="t" o:hr="t" fillcolor="#a0a0a0" stroked="f"/>
        </w:pict>
      </w:r>
    </w:p>
    <w:p w14:paraId="771AD869" w14:textId="77777777" w:rsidR="00CD06A3" w:rsidRPr="00CD06A3" w:rsidRDefault="00CD06A3" w:rsidP="00CD06A3">
      <w:pPr>
        <w:shd w:val="clear" w:color="auto" w:fill="FFFFFF"/>
        <w:spacing w:after="0" w:line="240" w:lineRule="auto"/>
        <w:outlineLvl w:val="2"/>
        <w:rPr>
          <w:rFonts w:ascii="Arial" w:eastAsia="Times New Roman" w:hAnsi="Arial" w:cs="Arial"/>
          <w:b/>
          <w:bCs/>
          <w:color w:val="1A1C1E"/>
          <w:kern w:val="0"/>
          <w:sz w:val="27"/>
          <w:szCs w:val="27"/>
          <w14:ligatures w14:val="none"/>
        </w:rPr>
      </w:pPr>
      <w:r w:rsidRPr="00CD06A3">
        <w:rPr>
          <w:rFonts w:ascii="Arial" w:eastAsia="Times New Roman" w:hAnsi="Arial" w:cs="Arial"/>
          <w:b/>
          <w:bCs/>
          <w:color w:val="1A1C1E"/>
          <w:kern w:val="0"/>
          <w:sz w:val="27"/>
          <w:szCs w:val="27"/>
          <w14:ligatures w14:val="none"/>
        </w:rPr>
        <w:t xml:space="preserve">1. Egypt: </w:t>
      </w:r>
      <w:proofErr w:type="gramStart"/>
      <w:r w:rsidRPr="00CD06A3">
        <w:rPr>
          <w:rFonts w:ascii="Arial" w:eastAsia="Times New Roman" w:hAnsi="Arial" w:cs="Arial"/>
          <w:b/>
          <w:bCs/>
          <w:color w:val="1A1C1E"/>
          <w:kern w:val="0"/>
          <w:sz w:val="27"/>
          <w:szCs w:val="27"/>
          <w14:ligatures w14:val="none"/>
        </w:rPr>
        <w:t>Generally</w:t>
      </w:r>
      <w:proofErr w:type="gramEnd"/>
      <w:r w:rsidRPr="00CD06A3">
        <w:rPr>
          <w:rFonts w:ascii="Arial" w:eastAsia="Times New Roman" w:hAnsi="Arial" w:cs="Arial"/>
          <w:b/>
          <w:bCs/>
          <w:color w:val="1A1C1E"/>
          <w:kern w:val="0"/>
          <w:sz w:val="27"/>
          <w:szCs w:val="27"/>
          <w14:ligatures w14:val="none"/>
        </w:rPr>
        <w:t xml:space="preserve"> Prohibits Netting (Strict Gross Settlement)</w:t>
      </w:r>
    </w:p>
    <w:p w14:paraId="5BED1D44" w14:textId="77777777" w:rsidR="00CD06A3" w:rsidRPr="00CD06A3" w:rsidRDefault="00CD06A3" w:rsidP="00CD06A3">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CD06A3">
        <w:rPr>
          <w:rFonts w:ascii="Arial" w:eastAsia="Times New Roman" w:hAnsi="Arial" w:cs="Arial"/>
          <w:color w:val="1A1C1E"/>
          <w:kern w:val="0"/>
          <w:sz w:val="21"/>
          <w:szCs w:val="21"/>
          <w14:ligatures w14:val="none"/>
        </w:rPr>
        <w:t>Egypt is currently in a phase of aggressive foreign exchange (FX) recovery. Following the massive devaluation and unification of the EGP exchange rate in 2024, the Central Bank of Egypt (CBE) has doubled down on capturing every possible dollar through official channels.</w:t>
      </w:r>
    </w:p>
    <w:p w14:paraId="3288B3EA" w14:textId="77777777" w:rsidR="00CD06A3" w:rsidRPr="00CD06A3" w:rsidRDefault="00CD06A3" w:rsidP="00CD06A3">
      <w:pPr>
        <w:numPr>
          <w:ilvl w:val="0"/>
          <w:numId w:val="1"/>
        </w:numPr>
        <w:shd w:val="clear" w:color="auto" w:fill="FFFFFF"/>
        <w:spacing w:after="45" w:line="300" w:lineRule="atLeast"/>
        <w:rPr>
          <w:rFonts w:ascii="Arial" w:eastAsia="Times New Roman" w:hAnsi="Arial" w:cs="Arial"/>
          <w:color w:val="1A1C1E"/>
          <w:kern w:val="0"/>
          <w:sz w:val="21"/>
          <w:szCs w:val="21"/>
          <w14:ligatures w14:val="none"/>
        </w:rPr>
      </w:pPr>
      <w:r w:rsidRPr="00CD06A3">
        <w:rPr>
          <w:rFonts w:ascii="Arial" w:eastAsia="Times New Roman" w:hAnsi="Arial" w:cs="Arial"/>
          <w:b/>
          <w:bCs/>
          <w:color w:val="1A1C1E"/>
          <w:kern w:val="0"/>
          <w:sz w:val="21"/>
          <w:szCs w:val="21"/>
          <w14:ligatures w14:val="none"/>
        </w:rPr>
        <w:t>The Policy:</w:t>
      </w:r>
      <w:r w:rsidRPr="00CD06A3">
        <w:rPr>
          <w:rFonts w:ascii="Arial" w:eastAsia="Times New Roman" w:hAnsi="Arial" w:cs="Arial"/>
          <w:color w:val="1A1C1E"/>
          <w:kern w:val="0"/>
          <w:sz w:val="21"/>
          <w:szCs w:val="21"/>
          <w14:ligatures w14:val="none"/>
        </w:rPr>
        <w:t> The CBE requires </w:t>
      </w:r>
      <w:r w:rsidRPr="00CD06A3">
        <w:rPr>
          <w:rFonts w:ascii="Arial" w:eastAsia="Times New Roman" w:hAnsi="Arial" w:cs="Arial"/>
          <w:b/>
          <w:bCs/>
          <w:color w:val="1A1C1E"/>
          <w:kern w:val="0"/>
          <w:sz w:val="21"/>
          <w:szCs w:val="21"/>
          <w14:ligatures w14:val="none"/>
        </w:rPr>
        <w:t>Gross Settlement</w:t>
      </w:r>
      <w:r w:rsidRPr="00CD06A3">
        <w:rPr>
          <w:rFonts w:ascii="Arial" w:eastAsia="Times New Roman" w:hAnsi="Arial" w:cs="Arial"/>
          <w:color w:val="1A1C1E"/>
          <w:kern w:val="0"/>
          <w:sz w:val="21"/>
          <w:szCs w:val="21"/>
          <w14:ligatures w14:val="none"/>
        </w:rPr>
        <w:t> for all international personal remittances. International Money Transfer Operators (IMTOs) and exchange houses in the Gulf (UAE, Saudi Arabia, Kuwait) must wire the full (gross) amount of foreign currency into the "Nostro" accounts of Egyptian banks.</w:t>
      </w:r>
    </w:p>
    <w:p w14:paraId="416AD54D" w14:textId="77777777" w:rsidR="00CD06A3" w:rsidRPr="00CD06A3" w:rsidRDefault="00CD06A3" w:rsidP="00CD06A3">
      <w:pPr>
        <w:numPr>
          <w:ilvl w:val="0"/>
          <w:numId w:val="1"/>
        </w:numPr>
        <w:shd w:val="clear" w:color="auto" w:fill="FFFFFF"/>
        <w:spacing w:after="45" w:line="300" w:lineRule="atLeast"/>
        <w:rPr>
          <w:rFonts w:ascii="Arial" w:eastAsia="Times New Roman" w:hAnsi="Arial" w:cs="Arial"/>
          <w:color w:val="1A1C1E"/>
          <w:kern w:val="0"/>
          <w:sz w:val="21"/>
          <w:szCs w:val="21"/>
          <w14:ligatures w14:val="none"/>
        </w:rPr>
      </w:pPr>
      <w:r w:rsidRPr="00CD06A3">
        <w:rPr>
          <w:rFonts w:ascii="Arial" w:eastAsia="Times New Roman" w:hAnsi="Arial" w:cs="Arial"/>
          <w:b/>
          <w:bCs/>
          <w:color w:val="1A1C1E"/>
          <w:kern w:val="0"/>
          <w:sz w:val="21"/>
          <w:szCs w:val="21"/>
          <w14:ligatures w14:val="none"/>
        </w:rPr>
        <w:t>The Motive:</w:t>
      </w:r>
      <w:r w:rsidRPr="00CD06A3">
        <w:rPr>
          <w:rFonts w:ascii="Arial" w:eastAsia="Times New Roman" w:hAnsi="Arial" w:cs="Arial"/>
          <w:color w:val="1A1C1E"/>
          <w:kern w:val="0"/>
          <w:sz w:val="21"/>
          <w:szCs w:val="21"/>
          <w14:ligatures w14:val="none"/>
        </w:rPr>
        <w:t> Egypt needs to rebuild its net international reserves to satisfy IMF conditions and pay for essential imports (wheat, fuel). Netting is seen as a way for MTOs to keep USD offshore, which the CBE views as a threat to national liquidity.</w:t>
      </w:r>
    </w:p>
    <w:p w14:paraId="3A85B4C7" w14:textId="77777777" w:rsidR="00CD06A3" w:rsidRPr="00CD06A3" w:rsidRDefault="00CD06A3" w:rsidP="00CD06A3">
      <w:pPr>
        <w:numPr>
          <w:ilvl w:val="0"/>
          <w:numId w:val="1"/>
        </w:numPr>
        <w:shd w:val="clear" w:color="auto" w:fill="FFFFFF"/>
        <w:spacing w:after="45" w:line="300" w:lineRule="atLeast"/>
        <w:rPr>
          <w:rFonts w:ascii="Arial" w:eastAsia="Times New Roman" w:hAnsi="Arial" w:cs="Arial"/>
          <w:color w:val="1A1C1E"/>
          <w:kern w:val="0"/>
          <w:sz w:val="21"/>
          <w:szCs w:val="21"/>
          <w14:ligatures w14:val="none"/>
        </w:rPr>
      </w:pPr>
      <w:r w:rsidRPr="00CD06A3">
        <w:rPr>
          <w:rFonts w:ascii="Arial" w:eastAsia="Times New Roman" w:hAnsi="Arial" w:cs="Arial"/>
          <w:b/>
          <w:bCs/>
          <w:color w:val="1A1C1E"/>
          <w:kern w:val="0"/>
          <w:sz w:val="21"/>
          <w:szCs w:val="21"/>
          <w14:ligatures w14:val="none"/>
        </w:rPr>
        <w:t>The Only Exception (PAPSS):</w:t>
      </w:r>
      <w:r w:rsidRPr="00CD06A3">
        <w:rPr>
          <w:rFonts w:ascii="Arial" w:eastAsia="Times New Roman" w:hAnsi="Arial" w:cs="Arial"/>
          <w:color w:val="1A1C1E"/>
          <w:kern w:val="0"/>
          <w:sz w:val="21"/>
          <w:szCs w:val="21"/>
          <w14:ligatures w14:val="none"/>
        </w:rPr>
        <w:t> Egypt is a member of the </w:t>
      </w:r>
      <w:r w:rsidRPr="00CD06A3">
        <w:rPr>
          <w:rFonts w:ascii="Arial" w:eastAsia="Times New Roman" w:hAnsi="Arial" w:cs="Arial"/>
          <w:b/>
          <w:bCs/>
          <w:color w:val="1A1C1E"/>
          <w:kern w:val="0"/>
          <w:sz w:val="21"/>
          <w:szCs w:val="21"/>
          <w14:ligatures w14:val="none"/>
        </w:rPr>
        <w:t>Pan-African Payment and Settlement System (PAPSS)</w:t>
      </w:r>
      <w:r w:rsidRPr="00CD06A3">
        <w:rPr>
          <w:rFonts w:ascii="Arial" w:eastAsia="Times New Roman" w:hAnsi="Arial" w:cs="Arial"/>
          <w:color w:val="1A1C1E"/>
          <w:kern w:val="0"/>
          <w:sz w:val="21"/>
          <w:szCs w:val="21"/>
          <w14:ligatures w14:val="none"/>
        </w:rPr>
        <w:t>. Within this specific regional framework, Egypt allows </w:t>
      </w:r>
      <w:r w:rsidRPr="00CD06A3">
        <w:rPr>
          <w:rFonts w:ascii="Arial" w:eastAsia="Times New Roman" w:hAnsi="Arial" w:cs="Arial"/>
          <w:b/>
          <w:bCs/>
          <w:color w:val="1A1C1E"/>
          <w:kern w:val="0"/>
          <w:sz w:val="21"/>
          <w:szCs w:val="21"/>
          <w14:ligatures w14:val="none"/>
        </w:rPr>
        <w:t>centralized netting</w:t>
      </w:r>
      <w:r w:rsidRPr="00CD06A3">
        <w:rPr>
          <w:rFonts w:ascii="Arial" w:eastAsia="Times New Roman" w:hAnsi="Arial" w:cs="Arial"/>
          <w:color w:val="1A1C1E"/>
          <w:kern w:val="0"/>
          <w:sz w:val="21"/>
          <w:szCs w:val="21"/>
          <w14:ligatures w14:val="none"/>
        </w:rPr>
        <w:t> for transfers between participating African banks. However, for the high-volume corridors (like UAE-to-Egypt or USA-to-Egypt), gross settlement is strictly mandated.</w:t>
      </w:r>
    </w:p>
    <w:p w14:paraId="36750CE9" w14:textId="77777777" w:rsidR="00CD06A3" w:rsidRPr="00CD06A3" w:rsidRDefault="00CD06A3" w:rsidP="00CD06A3">
      <w:pPr>
        <w:spacing w:before="240" w:after="240" w:line="240" w:lineRule="auto"/>
        <w:rPr>
          <w:rFonts w:ascii="Arial" w:eastAsia="Times New Roman" w:hAnsi="Arial" w:cs="Arial"/>
          <w:kern w:val="0"/>
          <w:sz w:val="21"/>
          <w:szCs w:val="21"/>
          <w14:ligatures w14:val="none"/>
        </w:rPr>
      </w:pPr>
      <w:r w:rsidRPr="00CD06A3">
        <w:rPr>
          <w:rFonts w:ascii="Times New Roman" w:eastAsia="Times New Roman" w:hAnsi="Times New Roman" w:cs="Times New Roman"/>
          <w:kern w:val="0"/>
          <w14:ligatures w14:val="none"/>
        </w:rPr>
        <w:pict w14:anchorId="1FF9F706">
          <v:rect id="_x0000_i1026" style="width:712.8pt;height:1.5pt" o:hrpct="0" o:hralign="center" o:hrstd="t" o:hr="t" fillcolor="#a0a0a0" stroked="f"/>
        </w:pict>
      </w:r>
    </w:p>
    <w:p w14:paraId="437D1F96" w14:textId="77777777" w:rsidR="00CD06A3" w:rsidRPr="00CD06A3" w:rsidRDefault="00CD06A3" w:rsidP="00CD06A3">
      <w:pPr>
        <w:shd w:val="clear" w:color="auto" w:fill="FFFFFF"/>
        <w:spacing w:after="0" w:line="240" w:lineRule="auto"/>
        <w:outlineLvl w:val="2"/>
        <w:rPr>
          <w:rFonts w:ascii="Arial" w:eastAsia="Times New Roman" w:hAnsi="Arial" w:cs="Arial"/>
          <w:b/>
          <w:bCs/>
          <w:color w:val="1A1C1E"/>
          <w:kern w:val="0"/>
          <w:sz w:val="27"/>
          <w:szCs w:val="27"/>
          <w14:ligatures w14:val="none"/>
        </w:rPr>
      </w:pPr>
      <w:r w:rsidRPr="00CD06A3">
        <w:rPr>
          <w:rFonts w:ascii="Arial" w:eastAsia="Times New Roman" w:hAnsi="Arial" w:cs="Arial"/>
          <w:b/>
          <w:bCs/>
          <w:color w:val="1A1C1E"/>
          <w:kern w:val="0"/>
          <w:sz w:val="27"/>
          <w:szCs w:val="27"/>
          <w14:ligatures w14:val="none"/>
        </w:rPr>
        <w:t>2. Lebanon: "De Facto" Netting / Hybrid System</w:t>
      </w:r>
    </w:p>
    <w:p w14:paraId="32318846" w14:textId="77777777" w:rsidR="00CD06A3" w:rsidRPr="00CD06A3" w:rsidRDefault="00CD06A3" w:rsidP="00CD06A3">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CD06A3">
        <w:rPr>
          <w:rFonts w:ascii="Arial" w:eastAsia="Times New Roman" w:hAnsi="Arial" w:cs="Arial"/>
          <w:color w:val="1A1C1E"/>
          <w:kern w:val="0"/>
          <w:sz w:val="21"/>
          <w:szCs w:val="21"/>
          <w14:ligatures w14:val="none"/>
        </w:rPr>
        <w:t>Lebanon’s situation is unique because its traditional commercial banking system remains largely dysfunctional. Remittances are the country’s primary source of "Fresh Dollars," accounting for over 30% of its GDP.</w:t>
      </w:r>
    </w:p>
    <w:p w14:paraId="3145A38C" w14:textId="77777777" w:rsidR="00CD06A3" w:rsidRPr="00CD06A3" w:rsidRDefault="00CD06A3" w:rsidP="00CD06A3">
      <w:pPr>
        <w:numPr>
          <w:ilvl w:val="0"/>
          <w:numId w:val="2"/>
        </w:numPr>
        <w:shd w:val="clear" w:color="auto" w:fill="FFFFFF"/>
        <w:spacing w:after="45" w:line="300" w:lineRule="atLeast"/>
        <w:rPr>
          <w:rFonts w:ascii="Arial" w:eastAsia="Times New Roman" w:hAnsi="Arial" w:cs="Arial"/>
          <w:color w:val="1A1C1E"/>
          <w:kern w:val="0"/>
          <w:sz w:val="21"/>
          <w:szCs w:val="21"/>
          <w14:ligatures w14:val="none"/>
        </w:rPr>
      </w:pPr>
      <w:r w:rsidRPr="00CD06A3">
        <w:rPr>
          <w:rFonts w:ascii="Arial" w:eastAsia="Times New Roman" w:hAnsi="Arial" w:cs="Arial"/>
          <w:b/>
          <w:bCs/>
          <w:color w:val="1A1C1E"/>
          <w:kern w:val="0"/>
          <w:sz w:val="21"/>
          <w:szCs w:val="21"/>
          <w14:ligatures w14:val="none"/>
        </w:rPr>
        <w:t>The Policy:</w:t>
      </w:r>
      <w:r w:rsidRPr="00CD06A3">
        <w:rPr>
          <w:rFonts w:ascii="Arial" w:eastAsia="Times New Roman" w:hAnsi="Arial" w:cs="Arial"/>
          <w:color w:val="1A1C1E"/>
          <w:kern w:val="0"/>
          <w:sz w:val="21"/>
          <w:szCs w:val="21"/>
          <w14:ligatures w14:val="none"/>
        </w:rPr>
        <w:t> Lebanon operates in a regulatory "gray area." While the Banque du Liban (BDL) officially prefers transparency and gross reporting, the breakdown of traditional correspondent banking relationships means that many large MTOs (such as </w:t>
      </w:r>
      <w:r w:rsidRPr="00CD06A3">
        <w:rPr>
          <w:rFonts w:ascii="Arial" w:eastAsia="Times New Roman" w:hAnsi="Arial" w:cs="Arial"/>
          <w:b/>
          <w:bCs/>
          <w:color w:val="1A1C1E"/>
          <w:kern w:val="0"/>
          <w:sz w:val="21"/>
          <w:szCs w:val="21"/>
          <w14:ligatures w14:val="none"/>
        </w:rPr>
        <w:t>OMT</w:t>
      </w:r>
      <w:r w:rsidRPr="00CD06A3">
        <w:rPr>
          <w:rFonts w:ascii="Arial" w:eastAsia="Times New Roman" w:hAnsi="Arial" w:cs="Arial"/>
          <w:color w:val="1A1C1E"/>
          <w:kern w:val="0"/>
          <w:sz w:val="21"/>
          <w:szCs w:val="21"/>
          <w14:ligatures w14:val="none"/>
        </w:rPr>
        <w:t>, </w:t>
      </w:r>
      <w:r w:rsidRPr="00CD06A3">
        <w:rPr>
          <w:rFonts w:ascii="Arial" w:eastAsia="Times New Roman" w:hAnsi="Arial" w:cs="Arial"/>
          <w:b/>
          <w:bCs/>
          <w:color w:val="1A1C1E"/>
          <w:kern w:val="0"/>
          <w:sz w:val="21"/>
          <w:szCs w:val="21"/>
          <w14:ligatures w14:val="none"/>
        </w:rPr>
        <w:t>Western Union</w:t>
      </w:r>
      <w:r w:rsidRPr="00CD06A3">
        <w:rPr>
          <w:rFonts w:ascii="Arial" w:eastAsia="Times New Roman" w:hAnsi="Arial" w:cs="Arial"/>
          <w:color w:val="1A1C1E"/>
          <w:kern w:val="0"/>
          <w:sz w:val="21"/>
          <w:szCs w:val="21"/>
          <w14:ligatures w14:val="none"/>
        </w:rPr>
        <w:t>, and </w:t>
      </w:r>
      <w:proofErr w:type="spellStart"/>
      <w:r w:rsidRPr="00CD06A3">
        <w:rPr>
          <w:rFonts w:ascii="Arial" w:eastAsia="Times New Roman" w:hAnsi="Arial" w:cs="Arial"/>
          <w:b/>
          <w:bCs/>
          <w:color w:val="1A1C1E"/>
          <w:kern w:val="0"/>
          <w:sz w:val="21"/>
          <w:szCs w:val="21"/>
          <w14:ligatures w14:val="none"/>
        </w:rPr>
        <w:t>BoB</w:t>
      </w:r>
      <w:proofErr w:type="spellEnd"/>
      <w:r w:rsidRPr="00CD06A3">
        <w:rPr>
          <w:rFonts w:ascii="Arial" w:eastAsia="Times New Roman" w:hAnsi="Arial" w:cs="Arial"/>
          <w:b/>
          <w:bCs/>
          <w:color w:val="1A1C1E"/>
          <w:kern w:val="0"/>
          <w:sz w:val="21"/>
          <w:szCs w:val="21"/>
          <w14:ligatures w14:val="none"/>
        </w:rPr>
        <w:t xml:space="preserve"> Finance</w:t>
      </w:r>
      <w:r w:rsidRPr="00CD06A3">
        <w:rPr>
          <w:rFonts w:ascii="Arial" w:eastAsia="Times New Roman" w:hAnsi="Arial" w:cs="Arial"/>
          <w:color w:val="1A1C1E"/>
          <w:kern w:val="0"/>
          <w:sz w:val="21"/>
          <w:szCs w:val="21"/>
          <w14:ligatures w14:val="none"/>
        </w:rPr>
        <w:t>) operate on a </w:t>
      </w:r>
      <w:r w:rsidRPr="00CD06A3">
        <w:rPr>
          <w:rFonts w:ascii="Arial" w:eastAsia="Times New Roman" w:hAnsi="Arial" w:cs="Arial"/>
          <w:b/>
          <w:bCs/>
          <w:color w:val="1A1C1E"/>
          <w:kern w:val="0"/>
          <w:sz w:val="21"/>
          <w:szCs w:val="21"/>
          <w14:ligatures w14:val="none"/>
        </w:rPr>
        <w:t>net settlement basis</w:t>
      </w:r>
      <w:r w:rsidRPr="00CD06A3">
        <w:rPr>
          <w:rFonts w:ascii="Arial" w:eastAsia="Times New Roman" w:hAnsi="Arial" w:cs="Arial"/>
          <w:color w:val="1A1C1E"/>
          <w:kern w:val="0"/>
          <w:sz w:val="21"/>
          <w:szCs w:val="21"/>
          <w14:ligatures w14:val="none"/>
        </w:rPr>
        <w:t> by necessity.</w:t>
      </w:r>
    </w:p>
    <w:p w14:paraId="579FFB96" w14:textId="77777777" w:rsidR="00CD06A3" w:rsidRPr="00CD06A3" w:rsidRDefault="00CD06A3" w:rsidP="00CD06A3">
      <w:pPr>
        <w:numPr>
          <w:ilvl w:val="0"/>
          <w:numId w:val="2"/>
        </w:numPr>
        <w:shd w:val="clear" w:color="auto" w:fill="FFFFFF"/>
        <w:spacing w:after="45" w:line="300" w:lineRule="atLeast"/>
        <w:rPr>
          <w:rFonts w:ascii="Arial" w:eastAsia="Times New Roman" w:hAnsi="Arial" w:cs="Arial"/>
          <w:color w:val="1A1C1E"/>
          <w:kern w:val="0"/>
          <w:sz w:val="21"/>
          <w:szCs w:val="21"/>
          <w14:ligatures w14:val="none"/>
        </w:rPr>
      </w:pPr>
      <w:r w:rsidRPr="00CD06A3">
        <w:rPr>
          <w:rFonts w:ascii="Arial" w:eastAsia="Times New Roman" w:hAnsi="Arial" w:cs="Arial"/>
          <w:b/>
          <w:bCs/>
          <w:color w:val="1A1C1E"/>
          <w:kern w:val="0"/>
          <w:sz w:val="21"/>
          <w:szCs w:val="21"/>
          <w14:ligatures w14:val="none"/>
        </w:rPr>
        <w:t>The Mechanism:</w:t>
      </w:r>
      <w:r w:rsidRPr="00CD06A3">
        <w:rPr>
          <w:rFonts w:ascii="Arial" w:eastAsia="Times New Roman" w:hAnsi="Arial" w:cs="Arial"/>
          <w:color w:val="1A1C1E"/>
          <w:kern w:val="0"/>
          <w:sz w:val="21"/>
          <w:szCs w:val="21"/>
          <w14:ligatures w14:val="none"/>
        </w:rPr>
        <w:t> Large MTOs in Lebanon act as "de facto" banks. They collect massive amounts of physical USD cash from incoming remittances. They often use this local cash pool to pay out other obligations or settle with their global principals through offshore accounts in Dubai or Europe.</w:t>
      </w:r>
    </w:p>
    <w:p w14:paraId="2F839F81" w14:textId="77777777" w:rsidR="00CD06A3" w:rsidRPr="00CD06A3" w:rsidRDefault="00CD06A3" w:rsidP="00CD06A3">
      <w:pPr>
        <w:numPr>
          <w:ilvl w:val="0"/>
          <w:numId w:val="2"/>
        </w:numPr>
        <w:shd w:val="clear" w:color="auto" w:fill="FFFFFF"/>
        <w:spacing w:after="45" w:line="300" w:lineRule="atLeast"/>
        <w:rPr>
          <w:rFonts w:ascii="Arial" w:eastAsia="Times New Roman" w:hAnsi="Arial" w:cs="Arial"/>
          <w:color w:val="1A1C1E"/>
          <w:kern w:val="0"/>
          <w:sz w:val="21"/>
          <w:szCs w:val="21"/>
          <w14:ligatures w14:val="none"/>
        </w:rPr>
      </w:pPr>
      <w:r w:rsidRPr="00CD06A3">
        <w:rPr>
          <w:rFonts w:ascii="Arial" w:eastAsia="Times New Roman" w:hAnsi="Arial" w:cs="Arial"/>
          <w:b/>
          <w:bCs/>
          <w:color w:val="1A1C1E"/>
          <w:kern w:val="0"/>
          <w:sz w:val="21"/>
          <w:szCs w:val="21"/>
          <w14:ligatures w14:val="none"/>
        </w:rPr>
        <w:t>The Motive:</w:t>
      </w:r>
      <w:r w:rsidRPr="00CD06A3">
        <w:rPr>
          <w:rFonts w:ascii="Arial" w:eastAsia="Times New Roman" w:hAnsi="Arial" w:cs="Arial"/>
          <w:color w:val="1A1C1E"/>
          <w:kern w:val="0"/>
          <w:sz w:val="21"/>
          <w:szCs w:val="21"/>
          <w14:ligatures w14:val="none"/>
        </w:rPr>
        <w:t> Because sending physical cash into Lebanon via the traditional banking system is slow and expensive (due to the country's high-risk rating), netting allows MTOs to maintain the "Fresh Dollar" economy without relying on the collapsed local banks.</w:t>
      </w:r>
    </w:p>
    <w:p w14:paraId="678AF4EC" w14:textId="77777777" w:rsidR="00CD06A3" w:rsidRPr="00CD06A3" w:rsidRDefault="00CD06A3" w:rsidP="00CD06A3">
      <w:pPr>
        <w:numPr>
          <w:ilvl w:val="0"/>
          <w:numId w:val="2"/>
        </w:numPr>
        <w:shd w:val="clear" w:color="auto" w:fill="FFFFFF"/>
        <w:spacing w:after="45" w:line="300" w:lineRule="atLeast"/>
        <w:rPr>
          <w:rFonts w:ascii="Arial" w:eastAsia="Times New Roman" w:hAnsi="Arial" w:cs="Arial"/>
          <w:color w:val="1A1C1E"/>
          <w:kern w:val="0"/>
          <w:sz w:val="21"/>
          <w:szCs w:val="21"/>
          <w14:ligatures w14:val="none"/>
        </w:rPr>
      </w:pPr>
      <w:r w:rsidRPr="00CD06A3">
        <w:rPr>
          <w:rFonts w:ascii="Arial" w:eastAsia="Times New Roman" w:hAnsi="Arial" w:cs="Arial"/>
          <w:b/>
          <w:bCs/>
          <w:color w:val="1A1C1E"/>
          <w:kern w:val="0"/>
          <w:sz w:val="21"/>
          <w:szCs w:val="21"/>
          <w14:ligatures w14:val="none"/>
        </w:rPr>
        <w:lastRenderedPageBreak/>
        <w:t>Current Risk:</w:t>
      </w:r>
      <w:r w:rsidRPr="00CD06A3">
        <w:rPr>
          <w:rFonts w:ascii="Arial" w:eastAsia="Times New Roman" w:hAnsi="Arial" w:cs="Arial"/>
          <w:color w:val="1A1C1E"/>
          <w:kern w:val="0"/>
          <w:sz w:val="21"/>
          <w:szCs w:val="21"/>
          <w14:ligatures w14:val="none"/>
        </w:rPr>
        <w:t> Lebanon was recently placed on the </w:t>
      </w:r>
      <w:r w:rsidRPr="00CD06A3">
        <w:rPr>
          <w:rFonts w:ascii="Arial" w:eastAsia="Times New Roman" w:hAnsi="Arial" w:cs="Arial"/>
          <w:b/>
          <w:bCs/>
          <w:color w:val="1A1C1E"/>
          <w:kern w:val="0"/>
          <w:sz w:val="21"/>
          <w:szCs w:val="21"/>
          <w14:ligatures w14:val="none"/>
        </w:rPr>
        <w:t>FATF "Gray List"</w:t>
      </w:r>
      <w:r w:rsidRPr="00CD06A3">
        <w:rPr>
          <w:rFonts w:ascii="Arial" w:eastAsia="Times New Roman" w:hAnsi="Arial" w:cs="Arial"/>
          <w:color w:val="1A1C1E"/>
          <w:kern w:val="0"/>
          <w:sz w:val="21"/>
          <w:szCs w:val="21"/>
          <w14:ligatures w14:val="none"/>
        </w:rPr>
        <w:t> (late 2024/2025). This has increased pressure on the BDL to move away from netting and informal cash-pooling toward more transparent, gross-settled transactions to prove that the money is not being used for illicit purposes.</w:t>
      </w:r>
    </w:p>
    <w:p w14:paraId="58E2F280" w14:textId="77777777" w:rsidR="00CD06A3" w:rsidRPr="00CD06A3" w:rsidRDefault="00CD06A3" w:rsidP="00CD06A3">
      <w:pPr>
        <w:spacing w:before="240" w:after="240" w:line="240" w:lineRule="auto"/>
        <w:rPr>
          <w:rFonts w:ascii="Arial" w:eastAsia="Times New Roman" w:hAnsi="Arial" w:cs="Arial"/>
          <w:kern w:val="0"/>
          <w:sz w:val="21"/>
          <w:szCs w:val="21"/>
          <w14:ligatures w14:val="none"/>
        </w:rPr>
      </w:pPr>
      <w:r w:rsidRPr="00CD06A3">
        <w:rPr>
          <w:rFonts w:ascii="Times New Roman" w:eastAsia="Times New Roman" w:hAnsi="Times New Roman" w:cs="Times New Roman"/>
          <w:kern w:val="0"/>
          <w14:ligatures w14:val="none"/>
        </w:rPr>
        <w:pict w14:anchorId="53866870">
          <v:rect id="_x0000_i1027" style="width:712.8pt;height:1.5pt" o:hrpct="0" o:hralign="center" o:hrstd="t" o:hr="t" fillcolor="#a0a0a0" stroked="f"/>
        </w:pict>
      </w:r>
    </w:p>
    <w:p w14:paraId="157E0081" w14:textId="77777777" w:rsidR="00CD06A3" w:rsidRPr="00CD06A3" w:rsidRDefault="00CD06A3" w:rsidP="00CD06A3">
      <w:pPr>
        <w:shd w:val="clear" w:color="auto" w:fill="FFFFFF"/>
        <w:spacing w:after="0" w:line="240" w:lineRule="auto"/>
        <w:outlineLvl w:val="2"/>
        <w:rPr>
          <w:rFonts w:ascii="Arial" w:eastAsia="Times New Roman" w:hAnsi="Arial" w:cs="Arial"/>
          <w:b/>
          <w:bCs/>
          <w:color w:val="1A1C1E"/>
          <w:kern w:val="0"/>
          <w:sz w:val="27"/>
          <w:szCs w:val="27"/>
          <w14:ligatures w14:val="none"/>
        </w:rPr>
      </w:pPr>
      <w:r w:rsidRPr="00CD06A3">
        <w:rPr>
          <w:rFonts w:ascii="Arial" w:eastAsia="Times New Roman" w:hAnsi="Arial" w:cs="Arial"/>
          <w:b/>
          <w:bCs/>
          <w:color w:val="1A1C1E"/>
          <w:kern w:val="0"/>
          <w:sz w:val="27"/>
          <w:szCs w:val="27"/>
          <w14:ligatures w14:val="none"/>
        </w:rPr>
        <w:t>Summary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14"/>
        <w:gridCol w:w="3515"/>
        <w:gridCol w:w="3631"/>
      </w:tblGrid>
      <w:tr w:rsidR="00CD06A3" w:rsidRPr="00CD06A3" w14:paraId="5BC72977" w14:textId="77777777">
        <w:trPr>
          <w:tblCellSpacing w:w="15" w:type="dxa"/>
        </w:trPr>
        <w:tc>
          <w:tcPr>
            <w:tcW w:w="0" w:type="auto"/>
            <w:tcBorders>
              <w:top w:val="nil"/>
              <w:right w:val="nil"/>
            </w:tcBorders>
            <w:tcMar>
              <w:top w:w="90" w:type="dxa"/>
              <w:left w:w="180" w:type="dxa"/>
              <w:bottom w:w="90" w:type="dxa"/>
              <w:right w:w="180" w:type="dxa"/>
            </w:tcMar>
            <w:vAlign w:val="center"/>
            <w:hideMark/>
          </w:tcPr>
          <w:p w14:paraId="1DE60CD6" w14:textId="77777777" w:rsidR="00CD06A3" w:rsidRPr="00CD06A3" w:rsidRDefault="00CD06A3" w:rsidP="00CD06A3">
            <w:pPr>
              <w:spacing w:after="0" w:line="300" w:lineRule="atLeast"/>
              <w:rPr>
                <w:rFonts w:ascii="Arial" w:eastAsia="Times New Roman" w:hAnsi="Arial" w:cs="Arial"/>
                <w:b/>
                <w:bCs/>
                <w:kern w:val="0"/>
                <w:sz w:val="21"/>
                <w:szCs w:val="21"/>
                <w14:ligatures w14:val="none"/>
              </w:rPr>
            </w:pPr>
            <w:r w:rsidRPr="00CD06A3">
              <w:rPr>
                <w:rFonts w:ascii="Arial" w:eastAsia="Times New Roman" w:hAnsi="Arial" w:cs="Arial"/>
                <w:b/>
                <w:bCs/>
                <w:kern w:val="0"/>
                <w:sz w:val="21"/>
                <w:szCs w:val="21"/>
                <w14:ligatures w14:val="none"/>
              </w:rPr>
              <w:t>Feature</w:t>
            </w:r>
          </w:p>
        </w:tc>
        <w:tc>
          <w:tcPr>
            <w:tcW w:w="0" w:type="auto"/>
            <w:tcBorders>
              <w:top w:val="nil"/>
              <w:right w:val="nil"/>
            </w:tcBorders>
            <w:tcMar>
              <w:top w:w="90" w:type="dxa"/>
              <w:left w:w="180" w:type="dxa"/>
              <w:bottom w:w="90" w:type="dxa"/>
              <w:right w:w="180" w:type="dxa"/>
            </w:tcMar>
            <w:vAlign w:val="center"/>
            <w:hideMark/>
          </w:tcPr>
          <w:p w14:paraId="1D873B85" w14:textId="77777777" w:rsidR="00CD06A3" w:rsidRPr="00CD06A3" w:rsidRDefault="00CD06A3" w:rsidP="00CD06A3">
            <w:pPr>
              <w:spacing w:after="0" w:line="300" w:lineRule="atLeast"/>
              <w:rPr>
                <w:rFonts w:ascii="Arial" w:eastAsia="Times New Roman" w:hAnsi="Arial" w:cs="Arial"/>
                <w:b/>
                <w:bCs/>
                <w:kern w:val="0"/>
                <w:sz w:val="21"/>
                <w:szCs w:val="21"/>
                <w14:ligatures w14:val="none"/>
              </w:rPr>
            </w:pPr>
            <w:r w:rsidRPr="00CD06A3">
              <w:rPr>
                <w:rFonts w:ascii="Arial" w:eastAsia="Times New Roman" w:hAnsi="Arial" w:cs="Arial"/>
                <w:b/>
                <w:bCs/>
                <w:kern w:val="0"/>
                <w:sz w:val="21"/>
                <w:szCs w:val="21"/>
                <w14:ligatures w14:val="none"/>
              </w:rPr>
              <w:t>Egypt</w:t>
            </w:r>
          </w:p>
        </w:tc>
        <w:tc>
          <w:tcPr>
            <w:tcW w:w="0" w:type="auto"/>
            <w:tcBorders>
              <w:top w:val="nil"/>
              <w:right w:val="nil"/>
            </w:tcBorders>
            <w:tcMar>
              <w:top w:w="90" w:type="dxa"/>
              <w:left w:w="180" w:type="dxa"/>
              <w:bottom w:w="90" w:type="dxa"/>
              <w:right w:w="180" w:type="dxa"/>
            </w:tcMar>
            <w:vAlign w:val="center"/>
            <w:hideMark/>
          </w:tcPr>
          <w:p w14:paraId="6803259F" w14:textId="77777777" w:rsidR="00CD06A3" w:rsidRPr="00CD06A3" w:rsidRDefault="00CD06A3" w:rsidP="00CD06A3">
            <w:pPr>
              <w:spacing w:after="0" w:line="300" w:lineRule="atLeast"/>
              <w:rPr>
                <w:rFonts w:ascii="Arial" w:eastAsia="Times New Roman" w:hAnsi="Arial" w:cs="Arial"/>
                <w:b/>
                <w:bCs/>
                <w:kern w:val="0"/>
                <w:sz w:val="21"/>
                <w:szCs w:val="21"/>
                <w14:ligatures w14:val="none"/>
              </w:rPr>
            </w:pPr>
            <w:r w:rsidRPr="00CD06A3">
              <w:rPr>
                <w:rFonts w:ascii="Arial" w:eastAsia="Times New Roman" w:hAnsi="Arial" w:cs="Arial"/>
                <w:b/>
                <w:bCs/>
                <w:kern w:val="0"/>
                <w:sz w:val="21"/>
                <w:szCs w:val="21"/>
                <w14:ligatures w14:val="none"/>
              </w:rPr>
              <w:t>Lebanon</w:t>
            </w:r>
          </w:p>
        </w:tc>
      </w:tr>
      <w:tr w:rsidR="00CD06A3" w:rsidRPr="00CD06A3" w14:paraId="7C8E53EE" w14:textId="77777777">
        <w:trPr>
          <w:tblCellSpacing w:w="15" w:type="dxa"/>
        </w:trPr>
        <w:tc>
          <w:tcPr>
            <w:tcW w:w="0" w:type="auto"/>
            <w:tcBorders>
              <w:right w:val="nil"/>
            </w:tcBorders>
            <w:tcMar>
              <w:top w:w="90" w:type="dxa"/>
              <w:left w:w="180" w:type="dxa"/>
              <w:bottom w:w="90" w:type="dxa"/>
              <w:right w:w="180" w:type="dxa"/>
            </w:tcMar>
            <w:vAlign w:val="center"/>
            <w:hideMark/>
          </w:tcPr>
          <w:p w14:paraId="028E98DE" w14:textId="77777777" w:rsidR="00CD06A3" w:rsidRPr="00CD06A3" w:rsidRDefault="00CD06A3" w:rsidP="00CD06A3">
            <w:pPr>
              <w:spacing w:after="0" w:line="300" w:lineRule="atLeast"/>
              <w:rPr>
                <w:rFonts w:ascii="Arial" w:eastAsia="Times New Roman" w:hAnsi="Arial" w:cs="Arial"/>
                <w:kern w:val="0"/>
                <w:sz w:val="21"/>
                <w:szCs w:val="21"/>
                <w14:ligatures w14:val="none"/>
              </w:rPr>
            </w:pPr>
            <w:r w:rsidRPr="00CD06A3">
              <w:rPr>
                <w:rFonts w:ascii="Arial" w:eastAsia="Times New Roman" w:hAnsi="Arial" w:cs="Arial"/>
                <w:b/>
                <w:bCs/>
                <w:kern w:val="0"/>
                <w:sz w:val="21"/>
                <w:szCs w:val="21"/>
                <w14:ligatures w14:val="none"/>
              </w:rPr>
              <w:t>Settlement Mode</w:t>
            </w:r>
          </w:p>
        </w:tc>
        <w:tc>
          <w:tcPr>
            <w:tcW w:w="0" w:type="auto"/>
            <w:tcBorders>
              <w:right w:val="nil"/>
            </w:tcBorders>
            <w:tcMar>
              <w:top w:w="90" w:type="dxa"/>
              <w:left w:w="180" w:type="dxa"/>
              <w:bottom w:w="90" w:type="dxa"/>
              <w:right w:w="180" w:type="dxa"/>
            </w:tcMar>
            <w:vAlign w:val="center"/>
            <w:hideMark/>
          </w:tcPr>
          <w:p w14:paraId="338B3FEF" w14:textId="77777777" w:rsidR="00CD06A3" w:rsidRPr="00CD06A3" w:rsidRDefault="00CD06A3" w:rsidP="00CD06A3">
            <w:pPr>
              <w:spacing w:after="0" w:line="300" w:lineRule="atLeast"/>
              <w:rPr>
                <w:rFonts w:ascii="Arial" w:eastAsia="Times New Roman" w:hAnsi="Arial" w:cs="Arial"/>
                <w:kern w:val="0"/>
                <w:sz w:val="21"/>
                <w:szCs w:val="21"/>
                <w14:ligatures w14:val="none"/>
              </w:rPr>
            </w:pPr>
            <w:r w:rsidRPr="00CD06A3">
              <w:rPr>
                <w:rFonts w:ascii="Arial" w:eastAsia="Times New Roman" w:hAnsi="Arial" w:cs="Arial"/>
                <w:b/>
                <w:bCs/>
                <w:kern w:val="0"/>
                <w:sz w:val="21"/>
                <w:szCs w:val="21"/>
                <w14:ligatures w14:val="none"/>
              </w:rPr>
              <w:t>Gross Only</w:t>
            </w:r>
            <w:r w:rsidRPr="00CD06A3">
              <w:rPr>
                <w:rFonts w:ascii="Arial" w:eastAsia="Times New Roman" w:hAnsi="Arial" w:cs="Arial"/>
                <w:kern w:val="0"/>
                <w:sz w:val="21"/>
                <w:szCs w:val="21"/>
                <w14:ligatures w14:val="none"/>
              </w:rPr>
              <w:t> (Official)</w:t>
            </w:r>
          </w:p>
        </w:tc>
        <w:tc>
          <w:tcPr>
            <w:tcW w:w="0" w:type="auto"/>
            <w:tcBorders>
              <w:right w:val="nil"/>
            </w:tcBorders>
            <w:tcMar>
              <w:top w:w="90" w:type="dxa"/>
              <w:left w:w="180" w:type="dxa"/>
              <w:bottom w:w="90" w:type="dxa"/>
              <w:right w:w="180" w:type="dxa"/>
            </w:tcMar>
            <w:vAlign w:val="center"/>
            <w:hideMark/>
          </w:tcPr>
          <w:p w14:paraId="00209204" w14:textId="77777777" w:rsidR="00CD06A3" w:rsidRPr="00CD06A3" w:rsidRDefault="00CD06A3" w:rsidP="00CD06A3">
            <w:pPr>
              <w:spacing w:after="0" w:line="300" w:lineRule="atLeast"/>
              <w:rPr>
                <w:rFonts w:ascii="Arial" w:eastAsia="Times New Roman" w:hAnsi="Arial" w:cs="Arial"/>
                <w:kern w:val="0"/>
                <w:sz w:val="21"/>
                <w:szCs w:val="21"/>
                <w14:ligatures w14:val="none"/>
              </w:rPr>
            </w:pPr>
            <w:r w:rsidRPr="00CD06A3">
              <w:rPr>
                <w:rFonts w:ascii="Arial" w:eastAsia="Times New Roman" w:hAnsi="Arial" w:cs="Arial"/>
                <w:b/>
                <w:bCs/>
                <w:kern w:val="0"/>
                <w:sz w:val="21"/>
                <w:szCs w:val="21"/>
                <w14:ligatures w14:val="none"/>
              </w:rPr>
              <w:t>Net/Hybrid</w:t>
            </w:r>
            <w:r w:rsidRPr="00CD06A3">
              <w:rPr>
                <w:rFonts w:ascii="Arial" w:eastAsia="Times New Roman" w:hAnsi="Arial" w:cs="Arial"/>
                <w:kern w:val="0"/>
                <w:sz w:val="21"/>
                <w:szCs w:val="21"/>
                <w14:ligatures w14:val="none"/>
              </w:rPr>
              <w:t> (De Facto)</w:t>
            </w:r>
          </w:p>
        </w:tc>
      </w:tr>
      <w:tr w:rsidR="00CD06A3" w:rsidRPr="00CD06A3" w14:paraId="65F3AD32" w14:textId="77777777">
        <w:trPr>
          <w:tblCellSpacing w:w="15" w:type="dxa"/>
        </w:trPr>
        <w:tc>
          <w:tcPr>
            <w:tcW w:w="0" w:type="auto"/>
            <w:tcBorders>
              <w:right w:val="nil"/>
            </w:tcBorders>
            <w:tcMar>
              <w:top w:w="90" w:type="dxa"/>
              <w:left w:w="180" w:type="dxa"/>
              <w:bottom w:w="90" w:type="dxa"/>
              <w:right w:w="180" w:type="dxa"/>
            </w:tcMar>
            <w:vAlign w:val="center"/>
            <w:hideMark/>
          </w:tcPr>
          <w:p w14:paraId="7B36BF4E" w14:textId="77777777" w:rsidR="00CD06A3" w:rsidRPr="00CD06A3" w:rsidRDefault="00CD06A3" w:rsidP="00CD06A3">
            <w:pPr>
              <w:spacing w:after="0" w:line="300" w:lineRule="atLeast"/>
              <w:rPr>
                <w:rFonts w:ascii="Arial" w:eastAsia="Times New Roman" w:hAnsi="Arial" w:cs="Arial"/>
                <w:kern w:val="0"/>
                <w:sz w:val="21"/>
                <w:szCs w:val="21"/>
                <w14:ligatures w14:val="none"/>
              </w:rPr>
            </w:pPr>
            <w:r w:rsidRPr="00CD06A3">
              <w:rPr>
                <w:rFonts w:ascii="Arial" w:eastAsia="Times New Roman" w:hAnsi="Arial" w:cs="Arial"/>
                <w:b/>
                <w:bCs/>
                <w:kern w:val="0"/>
                <w:sz w:val="21"/>
                <w:szCs w:val="21"/>
                <w14:ligatures w14:val="none"/>
              </w:rPr>
              <w:t>Central Bank Stance</w:t>
            </w:r>
          </w:p>
        </w:tc>
        <w:tc>
          <w:tcPr>
            <w:tcW w:w="0" w:type="auto"/>
            <w:tcBorders>
              <w:right w:val="nil"/>
            </w:tcBorders>
            <w:tcMar>
              <w:top w:w="90" w:type="dxa"/>
              <w:left w:w="180" w:type="dxa"/>
              <w:bottom w:w="90" w:type="dxa"/>
              <w:right w:w="180" w:type="dxa"/>
            </w:tcMar>
            <w:vAlign w:val="center"/>
            <w:hideMark/>
          </w:tcPr>
          <w:p w14:paraId="7E56067F" w14:textId="77777777" w:rsidR="00CD06A3" w:rsidRPr="00CD06A3" w:rsidRDefault="00CD06A3" w:rsidP="00CD06A3">
            <w:pPr>
              <w:spacing w:after="0" w:line="300" w:lineRule="atLeast"/>
              <w:rPr>
                <w:rFonts w:ascii="Arial" w:eastAsia="Times New Roman" w:hAnsi="Arial" w:cs="Arial"/>
                <w:kern w:val="0"/>
                <w:sz w:val="21"/>
                <w:szCs w:val="21"/>
                <w14:ligatures w14:val="none"/>
              </w:rPr>
            </w:pPr>
            <w:r w:rsidRPr="00CD06A3">
              <w:rPr>
                <w:rFonts w:ascii="Arial" w:eastAsia="Times New Roman" w:hAnsi="Arial" w:cs="Arial"/>
                <w:kern w:val="0"/>
                <w:sz w:val="21"/>
                <w:szCs w:val="21"/>
                <w14:ligatures w14:val="none"/>
              </w:rPr>
              <w:t>Very Strict</w:t>
            </w:r>
          </w:p>
        </w:tc>
        <w:tc>
          <w:tcPr>
            <w:tcW w:w="0" w:type="auto"/>
            <w:tcBorders>
              <w:right w:val="nil"/>
            </w:tcBorders>
            <w:tcMar>
              <w:top w:w="90" w:type="dxa"/>
              <w:left w:w="180" w:type="dxa"/>
              <w:bottom w:w="90" w:type="dxa"/>
              <w:right w:w="180" w:type="dxa"/>
            </w:tcMar>
            <w:vAlign w:val="center"/>
            <w:hideMark/>
          </w:tcPr>
          <w:p w14:paraId="45443D62" w14:textId="77777777" w:rsidR="00CD06A3" w:rsidRPr="00CD06A3" w:rsidRDefault="00CD06A3" w:rsidP="00CD06A3">
            <w:pPr>
              <w:spacing w:after="0" w:line="300" w:lineRule="atLeast"/>
              <w:rPr>
                <w:rFonts w:ascii="Arial" w:eastAsia="Times New Roman" w:hAnsi="Arial" w:cs="Arial"/>
                <w:kern w:val="0"/>
                <w:sz w:val="21"/>
                <w:szCs w:val="21"/>
                <w14:ligatures w14:val="none"/>
              </w:rPr>
            </w:pPr>
            <w:r w:rsidRPr="00CD06A3">
              <w:rPr>
                <w:rFonts w:ascii="Arial" w:eastAsia="Times New Roman" w:hAnsi="Arial" w:cs="Arial"/>
                <w:kern w:val="0"/>
                <w:sz w:val="21"/>
                <w:szCs w:val="21"/>
                <w14:ligatures w14:val="none"/>
              </w:rPr>
              <w:t>Lenient due to necessity</w:t>
            </w:r>
          </w:p>
        </w:tc>
      </w:tr>
      <w:tr w:rsidR="00CD06A3" w:rsidRPr="00CD06A3" w14:paraId="37B99046" w14:textId="77777777">
        <w:trPr>
          <w:tblCellSpacing w:w="15" w:type="dxa"/>
        </w:trPr>
        <w:tc>
          <w:tcPr>
            <w:tcW w:w="0" w:type="auto"/>
            <w:tcBorders>
              <w:right w:val="nil"/>
            </w:tcBorders>
            <w:tcMar>
              <w:top w:w="90" w:type="dxa"/>
              <w:left w:w="180" w:type="dxa"/>
              <w:bottom w:w="90" w:type="dxa"/>
              <w:right w:w="180" w:type="dxa"/>
            </w:tcMar>
            <w:vAlign w:val="center"/>
            <w:hideMark/>
          </w:tcPr>
          <w:p w14:paraId="504833C6" w14:textId="77777777" w:rsidR="00CD06A3" w:rsidRPr="00CD06A3" w:rsidRDefault="00CD06A3" w:rsidP="00CD06A3">
            <w:pPr>
              <w:spacing w:after="0" w:line="300" w:lineRule="atLeast"/>
              <w:rPr>
                <w:rFonts w:ascii="Arial" w:eastAsia="Times New Roman" w:hAnsi="Arial" w:cs="Arial"/>
                <w:kern w:val="0"/>
                <w:sz w:val="21"/>
                <w:szCs w:val="21"/>
                <w14:ligatures w14:val="none"/>
              </w:rPr>
            </w:pPr>
            <w:r w:rsidRPr="00CD06A3">
              <w:rPr>
                <w:rFonts w:ascii="Arial" w:eastAsia="Times New Roman" w:hAnsi="Arial" w:cs="Arial"/>
                <w:b/>
                <w:bCs/>
                <w:kern w:val="0"/>
                <w:sz w:val="21"/>
                <w:szCs w:val="21"/>
                <w14:ligatures w14:val="none"/>
              </w:rPr>
              <w:t>Primary Goal</w:t>
            </w:r>
          </w:p>
        </w:tc>
        <w:tc>
          <w:tcPr>
            <w:tcW w:w="0" w:type="auto"/>
            <w:tcBorders>
              <w:right w:val="nil"/>
            </w:tcBorders>
            <w:tcMar>
              <w:top w:w="90" w:type="dxa"/>
              <w:left w:w="180" w:type="dxa"/>
              <w:bottom w:w="90" w:type="dxa"/>
              <w:right w:w="180" w:type="dxa"/>
            </w:tcMar>
            <w:vAlign w:val="center"/>
            <w:hideMark/>
          </w:tcPr>
          <w:p w14:paraId="7CF7203F" w14:textId="77777777" w:rsidR="00CD06A3" w:rsidRPr="00CD06A3" w:rsidRDefault="00CD06A3" w:rsidP="00CD06A3">
            <w:pPr>
              <w:spacing w:after="0" w:line="300" w:lineRule="atLeast"/>
              <w:rPr>
                <w:rFonts w:ascii="Arial" w:eastAsia="Times New Roman" w:hAnsi="Arial" w:cs="Arial"/>
                <w:kern w:val="0"/>
                <w:sz w:val="21"/>
                <w:szCs w:val="21"/>
                <w14:ligatures w14:val="none"/>
              </w:rPr>
            </w:pPr>
            <w:r w:rsidRPr="00CD06A3">
              <w:rPr>
                <w:rFonts w:ascii="Arial" w:eastAsia="Times New Roman" w:hAnsi="Arial" w:cs="Arial"/>
                <w:kern w:val="0"/>
                <w:sz w:val="21"/>
                <w:szCs w:val="21"/>
                <w14:ligatures w14:val="none"/>
              </w:rPr>
              <w:t>Rebuilding National Reserves</w:t>
            </w:r>
          </w:p>
        </w:tc>
        <w:tc>
          <w:tcPr>
            <w:tcW w:w="0" w:type="auto"/>
            <w:tcBorders>
              <w:right w:val="nil"/>
            </w:tcBorders>
            <w:tcMar>
              <w:top w:w="90" w:type="dxa"/>
              <w:left w:w="180" w:type="dxa"/>
              <w:bottom w:w="90" w:type="dxa"/>
              <w:right w:w="180" w:type="dxa"/>
            </w:tcMar>
            <w:vAlign w:val="center"/>
            <w:hideMark/>
          </w:tcPr>
          <w:p w14:paraId="2F9D119D" w14:textId="77777777" w:rsidR="00CD06A3" w:rsidRPr="00CD06A3" w:rsidRDefault="00CD06A3" w:rsidP="00CD06A3">
            <w:pPr>
              <w:spacing w:after="0" w:line="300" w:lineRule="atLeast"/>
              <w:rPr>
                <w:rFonts w:ascii="Arial" w:eastAsia="Times New Roman" w:hAnsi="Arial" w:cs="Arial"/>
                <w:kern w:val="0"/>
                <w:sz w:val="21"/>
                <w:szCs w:val="21"/>
                <w14:ligatures w14:val="none"/>
              </w:rPr>
            </w:pPr>
            <w:r w:rsidRPr="00CD06A3">
              <w:rPr>
                <w:rFonts w:ascii="Arial" w:eastAsia="Times New Roman" w:hAnsi="Arial" w:cs="Arial"/>
                <w:kern w:val="0"/>
                <w:sz w:val="21"/>
                <w:szCs w:val="21"/>
                <w14:ligatures w14:val="none"/>
              </w:rPr>
              <w:t>Maintaining the "Fresh Dollar" economy</w:t>
            </w:r>
          </w:p>
        </w:tc>
      </w:tr>
      <w:tr w:rsidR="00CD06A3" w:rsidRPr="00CD06A3" w14:paraId="47012E61" w14:textId="77777777">
        <w:trPr>
          <w:tblCellSpacing w:w="15" w:type="dxa"/>
        </w:trPr>
        <w:tc>
          <w:tcPr>
            <w:tcW w:w="0" w:type="auto"/>
            <w:tcBorders>
              <w:right w:val="nil"/>
            </w:tcBorders>
            <w:tcMar>
              <w:top w:w="90" w:type="dxa"/>
              <w:left w:w="180" w:type="dxa"/>
              <w:bottom w:w="90" w:type="dxa"/>
              <w:right w:w="180" w:type="dxa"/>
            </w:tcMar>
            <w:vAlign w:val="center"/>
            <w:hideMark/>
          </w:tcPr>
          <w:p w14:paraId="64E097E8" w14:textId="77777777" w:rsidR="00CD06A3" w:rsidRPr="00CD06A3" w:rsidRDefault="00CD06A3" w:rsidP="00CD06A3">
            <w:pPr>
              <w:spacing w:after="0" w:line="300" w:lineRule="atLeast"/>
              <w:rPr>
                <w:rFonts w:ascii="Arial" w:eastAsia="Times New Roman" w:hAnsi="Arial" w:cs="Arial"/>
                <w:kern w:val="0"/>
                <w:sz w:val="21"/>
                <w:szCs w:val="21"/>
                <w14:ligatures w14:val="none"/>
              </w:rPr>
            </w:pPr>
            <w:r w:rsidRPr="00CD06A3">
              <w:rPr>
                <w:rFonts w:ascii="Arial" w:eastAsia="Times New Roman" w:hAnsi="Arial" w:cs="Arial"/>
                <w:b/>
                <w:bCs/>
                <w:kern w:val="0"/>
                <w:sz w:val="21"/>
                <w:szCs w:val="21"/>
                <w14:ligatures w14:val="none"/>
              </w:rPr>
              <w:t>Key Risk</w:t>
            </w:r>
          </w:p>
        </w:tc>
        <w:tc>
          <w:tcPr>
            <w:tcW w:w="0" w:type="auto"/>
            <w:tcBorders>
              <w:right w:val="nil"/>
            </w:tcBorders>
            <w:tcMar>
              <w:top w:w="90" w:type="dxa"/>
              <w:left w:w="180" w:type="dxa"/>
              <w:bottom w:w="90" w:type="dxa"/>
              <w:right w:w="180" w:type="dxa"/>
            </w:tcMar>
            <w:vAlign w:val="center"/>
            <w:hideMark/>
          </w:tcPr>
          <w:p w14:paraId="17308E41" w14:textId="77777777" w:rsidR="00CD06A3" w:rsidRPr="00CD06A3" w:rsidRDefault="00CD06A3" w:rsidP="00CD06A3">
            <w:pPr>
              <w:spacing w:after="0" w:line="300" w:lineRule="atLeast"/>
              <w:rPr>
                <w:rFonts w:ascii="Arial" w:eastAsia="Times New Roman" w:hAnsi="Arial" w:cs="Arial"/>
                <w:kern w:val="0"/>
                <w:sz w:val="21"/>
                <w:szCs w:val="21"/>
                <w14:ligatures w14:val="none"/>
              </w:rPr>
            </w:pPr>
            <w:r w:rsidRPr="00CD06A3">
              <w:rPr>
                <w:rFonts w:ascii="Arial" w:eastAsia="Times New Roman" w:hAnsi="Arial" w:cs="Arial"/>
                <w:kern w:val="0"/>
                <w:sz w:val="21"/>
                <w:szCs w:val="21"/>
                <w14:ligatures w14:val="none"/>
              </w:rPr>
              <w:t>Revocation of IMTO license if netting</w:t>
            </w:r>
          </w:p>
        </w:tc>
        <w:tc>
          <w:tcPr>
            <w:tcW w:w="0" w:type="auto"/>
            <w:tcBorders>
              <w:right w:val="nil"/>
            </w:tcBorders>
            <w:tcMar>
              <w:top w:w="90" w:type="dxa"/>
              <w:left w:w="180" w:type="dxa"/>
              <w:bottom w:w="90" w:type="dxa"/>
              <w:right w:w="180" w:type="dxa"/>
            </w:tcMar>
            <w:vAlign w:val="center"/>
            <w:hideMark/>
          </w:tcPr>
          <w:p w14:paraId="3CCE0777" w14:textId="77777777" w:rsidR="00CD06A3" w:rsidRPr="00CD06A3" w:rsidRDefault="00CD06A3" w:rsidP="00CD06A3">
            <w:pPr>
              <w:spacing w:after="0" w:line="300" w:lineRule="atLeast"/>
              <w:rPr>
                <w:rFonts w:ascii="Arial" w:eastAsia="Times New Roman" w:hAnsi="Arial" w:cs="Arial"/>
                <w:kern w:val="0"/>
                <w:sz w:val="21"/>
                <w:szCs w:val="21"/>
                <w14:ligatures w14:val="none"/>
              </w:rPr>
            </w:pPr>
            <w:r w:rsidRPr="00CD06A3">
              <w:rPr>
                <w:rFonts w:ascii="Arial" w:eastAsia="Times New Roman" w:hAnsi="Arial" w:cs="Arial"/>
                <w:kern w:val="0"/>
                <w:sz w:val="21"/>
                <w:szCs w:val="21"/>
                <w14:ligatures w14:val="none"/>
              </w:rPr>
              <w:t>FATF scrutiny and "Gray List" compliance</w:t>
            </w:r>
          </w:p>
        </w:tc>
      </w:tr>
      <w:tr w:rsidR="00CD06A3" w:rsidRPr="00CD06A3" w14:paraId="07EEB7D5" w14:textId="77777777">
        <w:trPr>
          <w:tblCellSpacing w:w="15" w:type="dxa"/>
        </w:trPr>
        <w:tc>
          <w:tcPr>
            <w:tcW w:w="0" w:type="auto"/>
            <w:tcBorders>
              <w:right w:val="nil"/>
            </w:tcBorders>
            <w:tcMar>
              <w:top w:w="90" w:type="dxa"/>
              <w:left w:w="180" w:type="dxa"/>
              <w:bottom w:w="90" w:type="dxa"/>
              <w:right w:w="180" w:type="dxa"/>
            </w:tcMar>
            <w:vAlign w:val="center"/>
            <w:hideMark/>
          </w:tcPr>
          <w:p w14:paraId="135D2A64" w14:textId="77777777" w:rsidR="00CD06A3" w:rsidRPr="00CD06A3" w:rsidRDefault="00CD06A3" w:rsidP="00CD06A3">
            <w:pPr>
              <w:spacing w:after="0" w:line="300" w:lineRule="atLeast"/>
              <w:rPr>
                <w:rFonts w:ascii="Arial" w:eastAsia="Times New Roman" w:hAnsi="Arial" w:cs="Arial"/>
                <w:kern w:val="0"/>
                <w:sz w:val="21"/>
                <w:szCs w:val="21"/>
                <w14:ligatures w14:val="none"/>
              </w:rPr>
            </w:pPr>
            <w:r w:rsidRPr="00CD06A3">
              <w:rPr>
                <w:rFonts w:ascii="Arial" w:eastAsia="Times New Roman" w:hAnsi="Arial" w:cs="Arial"/>
                <w:b/>
                <w:bCs/>
                <w:kern w:val="0"/>
                <w:sz w:val="21"/>
                <w:szCs w:val="21"/>
                <w14:ligatures w14:val="none"/>
              </w:rPr>
              <w:t>Technology Shift</w:t>
            </w:r>
          </w:p>
        </w:tc>
        <w:tc>
          <w:tcPr>
            <w:tcW w:w="0" w:type="auto"/>
            <w:tcBorders>
              <w:right w:val="nil"/>
            </w:tcBorders>
            <w:tcMar>
              <w:top w:w="90" w:type="dxa"/>
              <w:left w:w="180" w:type="dxa"/>
              <w:bottom w:w="90" w:type="dxa"/>
              <w:right w:w="180" w:type="dxa"/>
            </w:tcMar>
            <w:vAlign w:val="center"/>
            <w:hideMark/>
          </w:tcPr>
          <w:p w14:paraId="782FE80F" w14:textId="77777777" w:rsidR="00CD06A3" w:rsidRPr="00CD06A3" w:rsidRDefault="00CD06A3" w:rsidP="00CD06A3">
            <w:pPr>
              <w:spacing w:after="0" w:line="300" w:lineRule="atLeast"/>
              <w:rPr>
                <w:rFonts w:ascii="Arial" w:eastAsia="Times New Roman" w:hAnsi="Arial" w:cs="Arial"/>
                <w:kern w:val="0"/>
                <w:sz w:val="21"/>
                <w:szCs w:val="21"/>
                <w14:ligatures w14:val="none"/>
              </w:rPr>
            </w:pPr>
            <w:r w:rsidRPr="00CD06A3">
              <w:rPr>
                <w:rFonts w:ascii="Arial" w:eastAsia="Times New Roman" w:hAnsi="Arial" w:cs="Arial"/>
                <w:kern w:val="0"/>
                <w:sz w:val="21"/>
                <w:szCs w:val="21"/>
                <w14:ligatures w14:val="none"/>
              </w:rPr>
              <w:t>Moving toward </w:t>
            </w:r>
            <w:proofErr w:type="spellStart"/>
            <w:r w:rsidRPr="00CD06A3">
              <w:rPr>
                <w:rFonts w:ascii="Arial" w:eastAsia="Times New Roman" w:hAnsi="Arial" w:cs="Arial"/>
                <w:b/>
                <w:bCs/>
                <w:kern w:val="0"/>
                <w:sz w:val="21"/>
                <w:szCs w:val="21"/>
                <w14:ligatures w14:val="none"/>
              </w:rPr>
              <w:t>Instapay</w:t>
            </w:r>
            <w:proofErr w:type="spellEnd"/>
            <w:r w:rsidRPr="00CD06A3">
              <w:rPr>
                <w:rFonts w:ascii="Arial" w:eastAsia="Times New Roman" w:hAnsi="Arial" w:cs="Arial"/>
                <w:kern w:val="0"/>
                <w:sz w:val="21"/>
                <w:szCs w:val="21"/>
                <w14:ligatures w14:val="none"/>
              </w:rPr>
              <w:t> (Gross)</w:t>
            </w:r>
          </w:p>
        </w:tc>
        <w:tc>
          <w:tcPr>
            <w:tcW w:w="0" w:type="auto"/>
            <w:tcBorders>
              <w:right w:val="nil"/>
            </w:tcBorders>
            <w:tcMar>
              <w:top w:w="90" w:type="dxa"/>
              <w:left w:w="180" w:type="dxa"/>
              <w:bottom w:w="90" w:type="dxa"/>
              <w:right w:w="180" w:type="dxa"/>
            </w:tcMar>
            <w:vAlign w:val="center"/>
            <w:hideMark/>
          </w:tcPr>
          <w:p w14:paraId="60E68E52" w14:textId="77777777" w:rsidR="00CD06A3" w:rsidRPr="00CD06A3" w:rsidRDefault="00CD06A3" w:rsidP="00CD06A3">
            <w:pPr>
              <w:spacing w:after="0" w:line="300" w:lineRule="atLeast"/>
              <w:rPr>
                <w:rFonts w:ascii="Arial" w:eastAsia="Times New Roman" w:hAnsi="Arial" w:cs="Arial"/>
                <w:kern w:val="0"/>
                <w:sz w:val="21"/>
                <w:szCs w:val="21"/>
                <w14:ligatures w14:val="none"/>
              </w:rPr>
            </w:pPr>
            <w:r w:rsidRPr="00CD06A3">
              <w:rPr>
                <w:rFonts w:ascii="Arial" w:eastAsia="Times New Roman" w:hAnsi="Arial" w:cs="Arial"/>
                <w:kern w:val="0"/>
                <w:sz w:val="21"/>
                <w:szCs w:val="21"/>
                <w14:ligatures w14:val="none"/>
              </w:rPr>
              <w:t>Reliant on Cash MTOs</w:t>
            </w:r>
          </w:p>
        </w:tc>
      </w:tr>
    </w:tbl>
    <w:p w14:paraId="39812F5D" w14:textId="77777777" w:rsidR="00CD06A3" w:rsidRDefault="00CD06A3" w:rsidP="00CD06A3">
      <w:pPr>
        <w:shd w:val="clear" w:color="auto" w:fill="FFFFFF"/>
        <w:spacing w:after="0" w:line="240" w:lineRule="auto"/>
        <w:outlineLvl w:val="2"/>
        <w:rPr>
          <w:rFonts w:ascii="Arial" w:eastAsia="Times New Roman" w:hAnsi="Arial" w:cs="Arial"/>
          <w:b/>
          <w:bCs/>
          <w:color w:val="1A1C1E"/>
          <w:kern w:val="0"/>
          <w:sz w:val="27"/>
          <w:szCs w:val="27"/>
          <w14:ligatures w14:val="none"/>
        </w:rPr>
      </w:pPr>
    </w:p>
    <w:p w14:paraId="6C0F2A43" w14:textId="0C97E036" w:rsidR="00CD06A3" w:rsidRPr="00CD06A3" w:rsidRDefault="00CD06A3" w:rsidP="00CD06A3">
      <w:pPr>
        <w:shd w:val="clear" w:color="auto" w:fill="FFFFFF"/>
        <w:spacing w:after="0" w:line="240" w:lineRule="auto"/>
        <w:outlineLvl w:val="2"/>
        <w:rPr>
          <w:rFonts w:ascii="Arial" w:eastAsia="Times New Roman" w:hAnsi="Arial" w:cs="Arial"/>
          <w:b/>
          <w:bCs/>
          <w:color w:val="1A1C1E"/>
          <w:kern w:val="0"/>
          <w:sz w:val="27"/>
          <w:szCs w:val="27"/>
          <w14:ligatures w14:val="none"/>
        </w:rPr>
      </w:pPr>
      <w:r w:rsidRPr="00CD06A3">
        <w:rPr>
          <w:rFonts w:ascii="Arial" w:eastAsia="Times New Roman" w:hAnsi="Arial" w:cs="Arial"/>
          <w:b/>
          <w:bCs/>
          <w:color w:val="1A1C1E"/>
          <w:kern w:val="0"/>
          <w:sz w:val="27"/>
          <w:szCs w:val="27"/>
          <w14:ligatures w14:val="none"/>
        </w:rPr>
        <w:t>Conclusion for Operators</w:t>
      </w:r>
    </w:p>
    <w:p w14:paraId="1CD53BE9" w14:textId="77777777" w:rsidR="00CD06A3" w:rsidRPr="00CD06A3" w:rsidRDefault="00CD06A3" w:rsidP="00CD06A3">
      <w:pPr>
        <w:numPr>
          <w:ilvl w:val="0"/>
          <w:numId w:val="3"/>
        </w:numPr>
        <w:shd w:val="clear" w:color="auto" w:fill="FFFFFF"/>
        <w:spacing w:after="45" w:line="300" w:lineRule="atLeast"/>
        <w:rPr>
          <w:rFonts w:ascii="Arial" w:eastAsia="Times New Roman" w:hAnsi="Arial" w:cs="Arial"/>
          <w:color w:val="1A1C1E"/>
          <w:kern w:val="0"/>
          <w:sz w:val="21"/>
          <w:szCs w:val="21"/>
          <w14:ligatures w14:val="none"/>
        </w:rPr>
      </w:pPr>
      <w:r w:rsidRPr="00CD06A3">
        <w:rPr>
          <w:rFonts w:ascii="Arial" w:eastAsia="Times New Roman" w:hAnsi="Arial" w:cs="Arial"/>
          <w:b/>
          <w:bCs/>
          <w:color w:val="1A1C1E"/>
          <w:kern w:val="0"/>
          <w:sz w:val="21"/>
          <w:szCs w:val="21"/>
          <w14:ligatures w14:val="none"/>
        </w:rPr>
        <w:t>In Egypt:</w:t>
      </w:r>
      <w:r w:rsidRPr="00CD06A3">
        <w:rPr>
          <w:rFonts w:ascii="Arial" w:eastAsia="Times New Roman" w:hAnsi="Arial" w:cs="Arial"/>
          <w:color w:val="1A1C1E"/>
          <w:kern w:val="0"/>
          <w:sz w:val="21"/>
          <w:szCs w:val="21"/>
          <w14:ligatures w14:val="none"/>
        </w:rPr>
        <w:t> You </w:t>
      </w:r>
      <w:r w:rsidRPr="00CD06A3">
        <w:rPr>
          <w:rFonts w:ascii="Arial" w:eastAsia="Times New Roman" w:hAnsi="Arial" w:cs="Arial"/>
          <w:b/>
          <w:bCs/>
          <w:color w:val="1A1C1E"/>
          <w:kern w:val="0"/>
          <w:sz w:val="21"/>
          <w:szCs w:val="21"/>
          <w14:ligatures w14:val="none"/>
        </w:rPr>
        <w:t>cannot</w:t>
      </w:r>
      <w:r w:rsidRPr="00CD06A3">
        <w:rPr>
          <w:rFonts w:ascii="Arial" w:eastAsia="Times New Roman" w:hAnsi="Arial" w:cs="Arial"/>
          <w:color w:val="1A1C1E"/>
          <w:kern w:val="0"/>
          <w:sz w:val="21"/>
          <w:szCs w:val="21"/>
          <w14:ligatures w14:val="none"/>
        </w:rPr>
        <w:t> net. You must prove to the CBE that for every 1,000 EGP paid out in Cairo, the equivalent USD has been wired into a local bank.</w:t>
      </w:r>
    </w:p>
    <w:p w14:paraId="3B681EF4" w14:textId="77777777" w:rsidR="00CD06A3" w:rsidRPr="00CD06A3" w:rsidRDefault="00CD06A3" w:rsidP="00CD06A3">
      <w:pPr>
        <w:numPr>
          <w:ilvl w:val="0"/>
          <w:numId w:val="3"/>
        </w:numPr>
        <w:shd w:val="clear" w:color="auto" w:fill="FFFFFF"/>
        <w:spacing w:after="45" w:line="300" w:lineRule="atLeast"/>
        <w:rPr>
          <w:rFonts w:ascii="Arial" w:eastAsia="Times New Roman" w:hAnsi="Arial" w:cs="Arial"/>
          <w:color w:val="1A1C1E"/>
          <w:kern w:val="0"/>
          <w:sz w:val="21"/>
          <w:szCs w:val="21"/>
          <w14:ligatures w14:val="none"/>
        </w:rPr>
      </w:pPr>
      <w:r w:rsidRPr="00CD06A3">
        <w:rPr>
          <w:rFonts w:ascii="Arial" w:eastAsia="Times New Roman" w:hAnsi="Arial" w:cs="Arial"/>
          <w:b/>
          <w:bCs/>
          <w:color w:val="1A1C1E"/>
          <w:kern w:val="0"/>
          <w:sz w:val="21"/>
          <w:szCs w:val="21"/>
          <w14:ligatures w14:val="none"/>
        </w:rPr>
        <w:t>In Lebanon:</w:t>
      </w:r>
      <w:r w:rsidRPr="00CD06A3">
        <w:rPr>
          <w:rFonts w:ascii="Arial" w:eastAsia="Times New Roman" w:hAnsi="Arial" w:cs="Arial"/>
          <w:color w:val="1A1C1E"/>
          <w:kern w:val="0"/>
          <w:sz w:val="21"/>
          <w:szCs w:val="21"/>
          <w14:ligatures w14:val="none"/>
        </w:rPr>
        <w:t> Netting is a common operational reality, but it is becoming increasingly dangerous from a </w:t>
      </w:r>
      <w:r w:rsidRPr="00CD06A3">
        <w:rPr>
          <w:rFonts w:ascii="Arial" w:eastAsia="Times New Roman" w:hAnsi="Arial" w:cs="Arial"/>
          <w:b/>
          <w:bCs/>
          <w:color w:val="1A1C1E"/>
          <w:kern w:val="0"/>
          <w:sz w:val="21"/>
          <w:szCs w:val="21"/>
          <w14:ligatures w14:val="none"/>
        </w:rPr>
        <w:t>compliance</w:t>
      </w:r>
      <w:r w:rsidRPr="00CD06A3">
        <w:rPr>
          <w:rFonts w:ascii="Arial" w:eastAsia="Times New Roman" w:hAnsi="Arial" w:cs="Arial"/>
          <w:color w:val="1A1C1E"/>
          <w:kern w:val="0"/>
          <w:sz w:val="21"/>
          <w:szCs w:val="21"/>
          <w14:ligatures w14:val="none"/>
        </w:rPr>
        <w:t> standpoint. As the BDL tries to get Lebanon off the FATF Gray List in 2026, they are likely to start demanding more "Gross-to-Nostro" settlement proof from MTOs.</w:t>
      </w:r>
    </w:p>
    <w:p w14:paraId="072D6C5A" w14:textId="77777777" w:rsidR="00A03483" w:rsidRDefault="00A03483"/>
    <w:sectPr w:rsidR="00A03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D70992"/>
    <w:multiLevelType w:val="multilevel"/>
    <w:tmpl w:val="6FC43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7D112A"/>
    <w:multiLevelType w:val="multilevel"/>
    <w:tmpl w:val="38FEB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C154B6"/>
    <w:multiLevelType w:val="multilevel"/>
    <w:tmpl w:val="23921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0446268">
    <w:abstractNumId w:val="0"/>
  </w:num>
  <w:num w:numId="2" w16cid:durableId="1692880621">
    <w:abstractNumId w:val="2"/>
  </w:num>
  <w:num w:numId="3" w16cid:durableId="16220301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LYwMzc0MjA1szA3sDBX0lEKTi0uzszPAykwrAUATYIv3CwAAAA="/>
  </w:docVars>
  <w:rsids>
    <w:rsidRoot w:val="00CD06A3"/>
    <w:rsid w:val="004473C5"/>
    <w:rsid w:val="005020E7"/>
    <w:rsid w:val="0098613E"/>
    <w:rsid w:val="00A03483"/>
    <w:rsid w:val="00CD06A3"/>
    <w:rsid w:val="00F60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29567"/>
  <w15:chartTrackingRefBased/>
  <w15:docId w15:val="{77DBC50B-B67C-4A5F-A81D-A352C3127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06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06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D06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06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06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06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06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06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06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6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06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D06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06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06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06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06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06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06A3"/>
    <w:rPr>
      <w:rFonts w:eastAsiaTheme="majorEastAsia" w:cstheme="majorBidi"/>
      <w:color w:val="272727" w:themeColor="text1" w:themeTint="D8"/>
    </w:rPr>
  </w:style>
  <w:style w:type="paragraph" w:styleId="Title">
    <w:name w:val="Title"/>
    <w:basedOn w:val="Normal"/>
    <w:next w:val="Normal"/>
    <w:link w:val="TitleChar"/>
    <w:uiPriority w:val="10"/>
    <w:qFormat/>
    <w:rsid w:val="00CD06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06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06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06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06A3"/>
    <w:pPr>
      <w:spacing w:before="160"/>
      <w:jc w:val="center"/>
    </w:pPr>
    <w:rPr>
      <w:i/>
      <w:iCs/>
      <w:color w:val="404040" w:themeColor="text1" w:themeTint="BF"/>
    </w:rPr>
  </w:style>
  <w:style w:type="character" w:customStyle="1" w:styleId="QuoteChar">
    <w:name w:val="Quote Char"/>
    <w:basedOn w:val="DefaultParagraphFont"/>
    <w:link w:val="Quote"/>
    <w:uiPriority w:val="29"/>
    <w:rsid w:val="00CD06A3"/>
    <w:rPr>
      <w:i/>
      <w:iCs/>
      <w:color w:val="404040" w:themeColor="text1" w:themeTint="BF"/>
    </w:rPr>
  </w:style>
  <w:style w:type="paragraph" w:styleId="ListParagraph">
    <w:name w:val="List Paragraph"/>
    <w:basedOn w:val="Normal"/>
    <w:uiPriority w:val="34"/>
    <w:qFormat/>
    <w:rsid w:val="00CD06A3"/>
    <w:pPr>
      <w:ind w:left="720"/>
      <w:contextualSpacing/>
    </w:pPr>
  </w:style>
  <w:style w:type="character" w:styleId="IntenseEmphasis">
    <w:name w:val="Intense Emphasis"/>
    <w:basedOn w:val="DefaultParagraphFont"/>
    <w:uiPriority w:val="21"/>
    <w:qFormat/>
    <w:rsid w:val="00CD06A3"/>
    <w:rPr>
      <w:i/>
      <w:iCs/>
      <w:color w:val="0F4761" w:themeColor="accent1" w:themeShade="BF"/>
    </w:rPr>
  </w:style>
  <w:style w:type="paragraph" w:styleId="IntenseQuote">
    <w:name w:val="Intense Quote"/>
    <w:basedOn w:val="Normal"/>
    <w:next w:val="Normal"/>
    <w:link w:val="IntenseQuoteChar"/>
    <w:uiPriority w:val="30"/>
    <w:qFormat/>
    <w:rsid w:val="00CD06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06A3"/>
    <w:rPr>
      <w:i/>
      <w:iCs/>
      <w:color w:val="0F4761" w:themeColor="accent1" w:themeShade="BF"/>
    </w:rPr>
  </w:style>
  <w:style w:type="character" w:styleId="IntenseReference">
    <w:name w:val="Intense Reference"/>
    <w:basedOn w:val="DefaultParagraphFont"/>
    <w:uiPriority w:val="32"/>
    <w:qFormat/>
    <w:rsid w:val="00CD06A3"/>
    <w:rPr>
      <w:b/>
      <w:bCs/>
      <w:smallCaps/>
      <w:color w:val="0F4761" w:themeColor="accent1" w:themeShade="BF"/>
      <w:spacing w:val="5"/>
    </w:rPr>
  </w:style>
  <w:style w:type="paragraph" w:customStyle="1" w:styleId="ng-star-inserted">
    <w:name w:val="ng-star-inserted"/>
    <w:basedOn w:val="Normal"/>
    <w:rsid w:val="00CD06A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g-star-inserted1">
    <w:name w:val="ng-star-inserted1"/>
    <w:basedOn w:val="DefaultParagraphFont"/>
    <w:rsid w:val="00CD0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561</Words>
  <Characters>3137</Characters>
  <Application>Microsoft Office Word</Application>
  <DocSecurity>0</DocSecurity>
  <Lines>71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dc:creator>
  <cp:keywords/>
  <dc:description/>
  <cp:lastModifiedBy>MJ</cp:lastModifiedBy>
  <cp:revision>1</cp:revision>
  <dcterms:created xsi:type="dcterms:W3CDTF">2026-01-26T02:11:00Z</dcterms:created>
  <dcterms:modified xsi:type="dcterms:W3CDTF">2026-01-26T02:15:00Z</dcterms:modified>
</cp:coreProperties>
</file>