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AB363" w14:textId="6B73B6D4" w:rsidR="00974F54" w:rsidRPr="00974F54" w:rsidRDefault="00974F54" w:rsidP="00974F54">
      <w:p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color w:val="1A1C1E"/>
          <w:kern w:val="0"/>
          <w:sz w:val="21"/>
          <w:szCs w:val="21"/>
          <w14:ligatures w14:val="none"/>
        </w:rPr>
        <w:t>The securitization of private remittances is a sophisticated financial technique that transforms the predictable, high-volume flow of migrant money into a formal investment vehicle. This process allows banks and governments in Low- and Middle-Income Countries (LMICs) to access international capital markets at lower interest rates than their sovereign credit rating would typically allow.</w:t>
      </w:r>
    </w:p>
    <w:p w14:paraId="7670DA04" w14:textId="77777777" w:rsidR="00974F54" w:rsidRPr="00974F54" w:rsidRDefault="00974F54" w:rsidP="00974F54">
      <w:p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color w:val="1A1C1E"/>
          <w:kern w:val="0"/>
          <w:sz w:val="21"/>
          <w:szCs w:val="21"/>
          <w14:ligatures w14:val="none"/>
        </w:rPr>
        <w:t>The following survey outlines the mechanics, history, benefits, and current state of this market as of 2026.</w:t>
      </w:r>
    </w:p>
    <w:p w14:paraId="6268D1CC" w14:textId="3A9AD3D6" w:rsidR="00974F54" w:rsidRPr="00974F54" w:rsidRDefault="00974F54" w:rsidP="00974F54">
      <w:pPr>
        <w:spacing w:after="0" w:line="240" w:lineRule="auto"/>
        <w:rPr>
          <w:rFonts w:eastAsia="Times New Roman" w:cs="Arial"/>
          <w:kern w:val="0"/>
          <w:sz w:val="21"/>
          <w:szCs w:val="21"/>
          <w14:ligatures w14:val="none"/>
        </w:rPr>
      </w:pPr>
    </w:p>
    <w:p w14:paraId="6A45732C" w14:textId="77777777" w:rsidR="00974F54" w:rsidRPr="00974F54" w:rsidRDefault="00974F54" w:rsidP="00974F54">
      <w:pPr>
        <w:shd w:val="clear" w:color="auto" w:fill="FFFFFF"/>
        <w:spacing w:after="240" w:line="240" w:lineRule="auto"/>
        <w:outlineLvl w:val="2"/>
        <w:rPr>
          <w:rFonts w:eastAsia="Times New Roman" w:cs="Arial"/>
          <w:b/>
          <w:bCs/>
          <w:color w:val="1A1C1E"/>
          <w:kern w:val="0"/>
          <w:sz w:val="27"/>
          <w:szCs w:val="27"/>
          <w14:ligatures w14:val="none"/>
        </w:rPr>
      </w:pPr>
      <w:r w:rsidRPr="00974F54">
        <w:rPr>
          <w:rFonts w:eastAsia="Times New Roman" w:cs="Arial"/>
          <w:b/>
          <w:bCs/>
          <w:color w:val="1A1C1E"/>
          <w:kern w:val="0"/>
          <w:sz w:val="27"/>
          <w:szCs w:val="27"/>
          <w14:ligatures w14:val="none"/>
        </w:rPr>
        <w:t>1. The Core Mechanism: Future Flow Securitization (FFS)</w:t>
      </w:r>
    </w:p>
    <w:p w14:paraId="056046B0" w14:textId="77777777" w:rsidR="00974F54" w:rsidRPr="00974F54" w:rsidRDefault="00974F54" w:rsidP="00974F54">
      <w:p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color w:val="1A1C1E"/>
          <w:kern w:val="0"/>
          <w:sz w:val="21"/>
          <w:szCs w:val="21"/>
          <w14:ligatures w14:val="none"/>
        </w:rPr>
        <w:t>The most common form of remittance securitization is known as </w:t>
      </w:r>
      <w:r w:rsidRPr="00974F54">
        <w:rPr>
          <w:rFonts w:eastAsia="Times New Roman" w:cs="Arial"/>
          <w:b/>
          <w:bCs/>
          <w:color w:val="1A1C1E"/>
          <w:kern w:val="0"/>
          <w:sz w:val="21"/>
          <w:szCs w:val="21"/>
          <w14:ligatures w14:val="none"/>
        </w:rPr>
        <w:t>Diversified Payment Rights (DPR)</w:t>
      </w:r>
      <w:r w:rsidRPr="00974F54">
        <w:rPr>
          <w:rFonts w:eastAsia="Times New Roman" w:cs="Arial"/>
          <w:color w:val="1A1C1E"/>
          <w:kern w:val="0"/>
          <w:sz w:val="21"/>
          <w:szCs w:val="21"/>
          <w14:ligatures w14:val="none"/>
        </w:rPr>
        <w:t> or </w:t>
      </w:r>
      <w:r w:rsidRPr="00974F54">
        <w:rPr>
          <w:rFonts w:eastAsia="Times New Roman" w:cs="Arial"/>
          <w:b/>
          <w:bCs/>
          <w:color w:val="1A1C1E"/>
          <w:kern w:val="0"/>
          <w:sz w:val="21"/>
          <w:szCs w:val="21"/>
          <w14:ligatures w14:val="none"/>
        </w:rPr>
        <w:t>Future Flow Securitization</w:t>
      </w:r>
      <w:r w:rsidRPr="00974F54">
        <w:rPr>
          <w:rFonts w:eastAsia="Times New Roman" w:cs="Arial"/>
          <w:color w:val="1A1C1E"/>
          <w:kern w:val="0"/>
          <w:sz w:val="21"/>
          <w:szCs w:val="21"/>
          <w14:ligatures w14:val="none"/>
        </w:rPr>
        <w:t>. Unlike traditional securitization, which uses existing assets (like a pool of current mortgages), remittance securitization uses </w:t>
      </w:r>
      <w:r w:rsidRPr="00974F54">
        <w:rPr>
          <w:rFonts w:eastAsia="Times New Roman" w:cs="Arial"/>
          <w:b/>
          <w:bCs/>
          <w:color w:val="1A1C1E"/>
          <w:kern w:val="0"/>
          <w:sz w:val="21"/>
          <w:szCs w:val="21"/>
          <w14:ligatures w14:val="none"/>
        </w:rPr>
        <w:t>future</w:t>
      </w:r>
      <w:r w:rsidRPr="00974F54">
        <w:rPr>
          <w:rFonts w:eastAsia="Times New Roman" w:cs="Arial"/>
          <w:color w:val="1A1C1E"/>
          <w:kern w:val="0"/>
          <w:sz w:val="21"/>
          <w:szCs w:val="21"/>
          <w14:ligatures w14:val="none"/>
        </w:rPr>
        <w:t> expected cash flows.</w:t>
      </w:r>
    </w:p>
    <w:p w14:paraId="59849066" w14:textId="77777777" w:rsidR="00974F54" w:rsidRPr="00974F54" w:rsidRDefault="00974F54" w:rsidP="00974F54">
      <w:pPr>
        <w:numPr>
          <w:ilvl w:val="0"/>
          <w:numId w:val="1"/>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The Setup:</w:t>
      </w:r>
      <w:r w:rsidRPr="00974F54">
        <w:rPr>
          <w:rFonts w:eastAsia="Times New Roman" w:cs="Arial"/>
          <w:color w:val="1A1C1E"/>
          <w:kern w:val="0"/>
          <w:sz w:val="21"/>
          <w:szCs w:val="21"/>
          <w14:ligatures w14:val="none"/>
        </w:rPr>
        <w:t xml:space="preserve"> A bank in </w:t>
      </w:r>
      <w:proofErr w:type="gramStart"/>
      <w:r w:rsidRPr="00974F54">
        <w:rPr>
          <w:rFonts w:eastAsia="Times New Roman" w:cs="Arial"/>
          <w:color w:val="1A1C1E"/>
          <w:kern w:val="0"/>
          <w:sz w:val="21"/>
          <w:szCs w:val="21"/>
          <w14:ligatures w14:val="none"/>
        </w:rPr>
        <w:t>an LMIC</w:t>
      </w:r>
      <w:proofErr w:type="gramEnd"/>
      <w:r w:rsidRPr="00974F54">
        <w:rPr>
          <w:rFonts w:eastAsia="Times New Roman" w:cs="Arial"/>
          <w:color w:val="1A1C1E"/>
          <w:kern w:val="0"/>
          <w:sz w:val="21"/>
          <w:szCs w:val="21"/>
          <w14:ligatures w14:val="none"/>
        </w:rPr>
        <w:t xml:space="preserve"> (the "Originator") receives a steady stream of foreign currency remittances (USD, EUR, GBP) from workers abroad.</w:t>
      </w:r>
    </w:p>
    <w:p w14:paraId="4DA47750" w14:textId="77777777" w:rsidR="00974F54" w:rsidRPr="00974F54" w:rsidRDefault="00974F54" w:rsidP="00974F54">
      <w:pPr>
        <w:numPr>
          <w:ilvl w:val="0"/>
          <w:numId w:val="1"/>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The Special Purpose Vehicle (SPV):</w:t>
      </w:r>
      <w:r w:rsidRPr="00974F54">
        <w:rPr>
          <w:rFonts w:eastAsia="Times New Roman" w:cs="Arial"/>
          <w:color w:val="1A1C1E"/>
          <w:kern w:val="0"/>
          <w:sz w:val="21"/>
          <w:szCs w:val="21"/>
          <w14:ligatures w14:val="none"/>
        </w:rPr>
        <w:t> The bank creates an offshore SPV (usually in a jurisdiction like the Cayman Islands or Bermuda).</w:t>
      </w:r>
    </w:p>
    <w:p w14:paraId="3982253C" w14:textId="77777777" w:rsidR="00974F54" w:rsidRPr="00974F54" w:rsidRDefault="00974F54" w:rsidP="00974F54">
      <w:pPr>
        <w:numPr>
          <w:ilvl w:val="0"/>
          <w:numId w:val="1"/>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The Diversion:</w:t>
      </w:r>
      <w:r w:rsidRPr="00974F54">
        <w:rPr>
          <w:rFonts w:eastAsia="Times New Roman" w:cs="Arial"/>
          <w:color w:val="1A1C1E"/>
          <w:kern w:val="0"/>
          <w:sz w:val="21"/>
          <w:szCs w:val="21"/>
          <w14:ligatures w14:val="none"/>
        </w:rPr>
        <w:t> The bank instructs international correspondent banks (e.g., JPMorgan, HSBC) to direct all incoming remittance payments to an offshore account controlled by the SPV.</w:t>
      </w:r>
    </w:p>
    <w:p w14:paraId="50DB3B39" w14:textId="77777777" w:rsidR="00974F54" w:rsidRPr="00974F54" w:rsidRDefault="00974F54" w:rsidP="00974F54">
      <w:pPr>
        <w:numPr>
          <w:ilvl w:val="0"/>
          <w:numId w:val="1"/>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Bond Issuance:</w:t>
      </w:r>
      <w:r w:rsidRPr="00974F54">
        <w:rPr>
          <w:rFonts w:eastAsia="Times New Roman" w:cs="Arial"/>
          <w:color w:val="1A1C1E"/>
          <w:kern w:val="0"/>
          <w:sz w:val="21"/>
          <w:szCs w:val="21"/>
          <w14:ligatures w14:val="none"/>
        </w:rPr>
        <w:t> The SPV issues bonds to global investors. The money in the offshore account is used to pay the bondholders' interest and principal </w:t>
      </w:r>
      <w:r w:rsidRPr="00974F54">
        <w:rPr>
          <w:rFonts w:eastAsia="Times New Roman" w:cs="Arial"/>
          <w:b/>
          <w:bCs/>
          <w:color w:val="1A1C1E"/>
          <w:kern w:val="0"/>
          <w:sz w:val="21"/>
          <w:szCs w:val="21"/>
          <w14:ligatures w14:val="none"/>
        </w:rPr>
        <w:t>before</w:t>
      </w:r>
      <w:r w:rsidRPr="00974F54">
        <w:rPr>
          <w:rFonts w:eastAsia="Times New Roman" w:cs="Arial"/>
          <w:color w:val="1A1C1E"/>
          <w:kern w:val="0"/>
          <w:sz w:val="21"/>
          <w:szCs w:val="21"/>
          <w14:ligatures w14:val="none"/>
        </w:rPr>
        <w:t> the remaining funds are sent back to the local bank in the LMIC.</w:t>
      </w:r>
    </w:p>
    <w:p w14:paraId="057BDE0A" w14:textId="77777777" w:rsidR="00974F54" w:rsidRPr="00974F54" w:rsidRDefault="00974F54" w:rsidP="00974F54">
      <w:pPr>
        <w:shd w:val="clear" w:color="auto" w:fill="FFFFFF"/>
        <w:spacing w:after="240" w:line="240" w:lineRule="auto"/>
        <w:outlineLvl w:val="2"/>
        <w:rPr>
          <w:rFonts w:eastAsia="Times New Roman" w:cs="Arial"/>
          <w:b/>
          <w:bCs/>
          <w:color w:val="1A1C1E"/>
          <w:kern w:val="0"/>
          <w:sz w:val="27"/>
          <w:szCs w:val="27"/>
          <w14:ligatures w14:val="none"/>
        </w:rPr>
      </w:pPr>
      <w:r w:rsidRPr="00974F54">
        <w:rPr>
          <w:rFonts w:eastAsia="Times New Roman" w:cs="Arial"/>
          <w:b/>
          <w:bCs/>
          <w:color w:val="1A1C1E"/>
          <w:kern w:val="0"/>
          <w:sz w:val="27"/>
          <w:szCs w:val="27"/>
          <w14:ligatures w14:val="none"/>
        </w:rPr>
        <w:t>2. Strategic Benefits</w:t>
      </w:r>
    </w:p>
    <w:p w14:paraId="7C01E16C" w14:textId="77777777" w:rsidR="00974F54" w:rsidRPr="00974F54" w:rsidRDefault="00974F54" w:rsidP="00974F54">
      <w:p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color w:val="1A1C1E"/>
          <w:kern w:val="0"/>
          <w:sz w:val="21"/>
          <w:szCs w:val="21"/>
          <w14:ligatures w14:val="none"/>
        </w:rPr>
        <w:t>The primary value of this structure is </w:t>
      </w:r>
      <w:r w:rsidRPr="00974F54">
        <w:rPr>
          <w:rFonts w:eastAsia="Times New Roman" w:cs="Arial"/>
          <w:b/>
          <w:bCs/>
          <w:color w:val="1A1C1E"/>
          <w:kern w:val="0"/>
          <w:sz w:val="21"/>
          <w:szCs w:val="21"/>
          <w14:ligatures w14:val="none"/>
        </w:rPr>
        <w:t>Credit Enhancement</w:t>
      </w:r>
      <w:r w:rsidRPr="00974F54">
        <w:rPr>
          <w:rFonts w:eastAsia="Times New Roman" w:cs="Arial"/>
          <w:color w:val="1A1C1E"/>
          <w:kern w:val="0"/>
          <w:sz w:val="21"/>
          <w:szCs w:val="21"/>
          <w14:ligatures w14:val="none"/>
        </w:rPr>
        <w:t>.</w:t>
      </w:r>
    </w:p>
    <w:p w14:paraId="6F31EA7C" w14:textId="77777777" w:rsidR="00974F54" w:rsidRPr="00974F54" w:rsidRDefault="00974F54" w:rsidP="00974F54">
      <w:pPr>
        <w:numPr>
          <w:ilvl w:val="0"/>
          <w:numId w:val="2"/>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Piercing the Sovereign Ceiling:</w:t>
      </w:r>
      <w:r w:rsidRPr="00974F54">
        <w:rPr>
          <w:rFonts w:eastAsia="Times New Roman" w:cs="Arial"/>
          <w:color w:val="1A1C1E"/>
          <w:kern w:val="0"/>
          <w:sz w:val="21"/>
          <w:szCs w:val="21"/>
          <w14:ligatures w14:val="none"/>
        </w:rPr>
        <w:t> Usually, a bank cannot have a credit rating higher than the country it operates in. However, because the remittance cash flows are captured "offshore" before they ever enter the LMIC's jurisdiction, the bonds are insulated from sovereign risks like currency devaluation or government freezes. This often results in the bonds being rated </w:t>
      </w:r>
      <w:r w:rsidRPr="00974F54">
        <w:rPr>
          <w:rFonts w:eastAsia="Times New Roman" w:cs="Arial"/>
          <w:b/>
          <w:bCs/>
          <w:color w:val="1A1C1E"/>
          <w:kern w:val="0"/>
          <w:sz w:val="21"/>
          <w:szCs w:val="21"/>
          <w14:ligatures w14:val="none"/>
        </w:rPr>
        <w:t>Investment Grade</w:t>
      </w:r>
      <w:r w:rsidRPr="00974F54">
        <w:rPr>
          <w:rFonts w:eastAsia="Times New Roman" w:cs="Arial"/>
          <w:color w:val="1A1C1E"/>
          <w:kern w:val="0"/>
          <w:sz w:val="21"/>
          <w:szCs w:val="21"/>
          <w14:ligatures w14:val="none"/>
        </w:rPr>
        <w:t xml:space="preserve"> even if the country </w:t>
      </w:r>
      <w:proofErr w:type="gramStart"/>
      <w:r w:rsidRPr="00974F54">
        <w:rPr>
          <w:rFonts w:eastAsia="Times New Roman" w:cs="Arial"/>
          <w:color w:val="1A1C1E"/>
          <w:kern w:val="0"/>
          <w:sz w:val="21"/>
          <w:szCs w:val="21"/>
          <w14:ligatures w14:val="none"/>
        </w:rPr>
        <w:t>is</w:t>
      </w:r>
      <w:proofErr w:type="gramEnd"/>
      <w:r w:rsidRPr="00974F54">
        <w:rPr>
          <w:rFonts w:eastAsia="Times New Roman" w:cs="Arial"/>
          <w:color w:val="1A1C1E"/>
          <w:kern w:val="0"/>
          <w:sz w:val="21"/>
          <w:szCs w:val="21"/>
          <w14:ligatures w14:val="none"/>
        </w:rPr>
        <w:t xml:space="preserve"> "Junk" status.</w:t>
      </w:r>
    </w:p>
    <w:p w14:paraId="68FD99CB" w14:textId="77777777" w:rsidR="00974F54" w:rsidRPr="00974F54" w:rsidRDefault="00974F54" w:rsidP="00974F54">
      <w:pPr>
        <w:numPr>
          <w:ilvl w:val="0"/>
          <w:numId w:val="2"/>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Lower Costs &amp; Longer Maturities:</w:t>
      </w:r>
      <w:r w:rsidRPr="00974F54">
        <w:rPr>
          <w:rFonts w:eastAsia="Times New Roman" w:cs="Arial"/>
          <w:color w:val="1A1C1E"/>
          <w:kern w:val="0"/>
          <w:sz w:val="21"/>
          <w:szCs w:val="21"/>
          <w14:ligatures w14:val="none"/>
        </w:rPr>
        <w:t> By achieving a higher credit rating, the local bank can borrow money at 2–4% lower interest rates and secure longer repayment terms (10–15 years) compared to standard unsecured debt.</w:t>
      </w:r>
    </w:p>
    <w:p w14:paraId="6401FF99" w14:textId="77777777" w:rsidR="00974F54" w:rsidRPr="00974F54" w:rsidRDefault="00974F54" w:rsidP="00974F54">
      <w:pPr>
        <w:shd w:val="clear" w:color="auto" w:fill="FFFFFF"/>
        <w:spacing w:after="240" w:line="240" w:lineRule="auto"/>
        <w:outlineLvl w:val="2"/>
        <w:rPr>
          <w:rFonts w:eastAsia="Times New Roman" w:cs="Arial"/>
          <w:b/>
          <w:bCs/>
          <w:color w:val="1A1C1E"/>
          <w:kern w:val="0"/>
          <w:sz w:val="27"/>
          <w:szCs w:val="27"/>
          <w14:ligatures w14:val="none"/>
        </w:rPr>
      </w:pPr>
      <w:r w:rsidRPr="00974F54">
        <w:rPr>
          <w:rFonts w:eastAsia="Times New Roman" w:cs="Arial"/>
          <w:b/>
          <w:bCs/>
          <w:color w:val="1A1C1E"/>
          <w:kern w:val="0"/>
          <w:sz w:val="27"/>
          <w:szCs w:val="27"/>
          <w14:ligatures w14:val="none"/>
        </w:rPr>
        <w:t>3. Historical and Regional Market Leaders</w:t>
      </w:r>
    </w:p>
    <w:p w14:paraId="3BB77E47" w14:textId="77777777" w:rsidR="00974F54" w:rsidRPr="00974F54" w:rsidRDefault="00974F54" w:rsidP="00974F54">
      <w:p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color w:val="1A1C1E"/>
          <w:kern w:val="0"/>
          <w:sz w:val="21"/>
          <w:szCs w:val="21"/>
          <w14:ligatures w14:val="none"/>
        </w:rPr>
        <w:t>Remittance securitization has been most successful in regions with large, stable diasporas.</w:t>
      </w:r>
    </w:p>
    <w:p w14:paraId="097440A3" w14:textId="77777777" w:rsidR="00974F54" w:rsidRPr="00974F54" w:rsidRDefault="00974F54" w:rsidP="00974F54">
      <w:pPr>
        <w:numPr>
          <w:ilvl w:val="0"/>
          <w:numId w:val="3"/>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Mexico and Latin America:</w:t>
      </w:r>
      <w:r w:rsidRPr="00974F54">
        <w:rPr>
          <w:rFonts w:eastAsia="Times New Roman" w:cs="Arial"/>
          <w:color w:val="1A1C1E"/>
          <w:kern w:val="0"/>
          <w:sz w:val="21"/>
          <w:szCs w:val="21"/>
          <w14:ligatures w14:val="none"/>
        </w:rPr>
        <w:t> The pioneers. In the 1990s, Mexican banks (Banamex, Bancomer) were the first to use this to survive domestic financial crises. El Salvador and Brazil followed, with </w:t>
      </w:r>
      <w:r w:rsidRPr="00974F54">
        <w:rPr>
          <w:rFonts w:eastAsia="Times New Roman" w:cs="Arial"/>
          <w:b/>
          <w:bCs/>
          <w:color w:val="1A1C1E"/>
          <w:kern w:val="0"/>
          <w:sz w:val="21"/>
          <w:szCs w:val="21"/>
          <w14:ligatures w14:val="none"/>
        </w:rPr>
        <w:t xml:space="preserve">Banco do </w:t>
      </w:r>
      <w:proofErr w:type="spellStart"/>
      <w:r w:rsidRPr="00974F54">
        <w:rPr>
          <w:rFonts w:eastAsia="Times New Roman" w:cs="Arial"/>
          <w:b/>
          <w:bCs/>
          <w:color w:val="1A1C1E"/>
          <w:kern w:val="0"/>
          <w:sz w:val="21"/>
          <w:szCs w:val="21"/>
          <w14:ligatures w14:val="none"/>
        </w:rPr>
        <w:t>Brasil</w:t>
      </w:r>
      <w:proofErr w:type="spellEnd"/>
      <w:r w:rsidRPr="00974F54">
        <w:rPr>
          <w:rFonts w:eastAsia="Times New Roman" w:cs="Arial"/>
          <w:color w:val="1A1C1E"/>
          <w:kern w:val="0"/>
          <w:sz w:val="21"/>
          <w:szCs w:val="21"/>
          <w14:ligatures w14:val="none"/>
        </w:rPr>
        <w:t> using Japanese worker remittances to back massive bond issues.</w:t>
      </w:r>
    </w:p>
    <w:p w14:paraId="4BE074B2" w14:textId="77777777" w:rsidR="00974F54" w:rsidRPr="00974F54" w:rsidRDefault="00974F54" w:rsidP="00974F54">
      <w:pPr>
        <w:numPr>
          <w:ilvl w:val="0"/>
          <w:numId w:val="3"/>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Turkey:</w:t>
      </w:r>
      <w:r w:rsidRPr="00974F54">
        <w:rPr>
          <w:rFonts w:eastAsia="Times New Roman" w:cs="Arial"/>
          <w:color w:val="1A1C1E"/>
          <w:kern w:val="0"/>
          <w:sz w:val="21"/>
          <w:szCs w:val="21"/>
          <w14:ligatures w14:val="none"/>
        </w:rPr>
        <w:t> Currently the global leader in the DPR model. Turkish banks (</w:t>
      </w:r>
      <w:proofErr w:type="spellStart"/>
      <w:r w:rsidRPr="00974F54">
        <w:rPr>
          <w:rFonts w:eastAsia="Times New Roman" w:cs="Arial"/>
          <w:color w:val="1A1C1E"/>
          <w:kern w:val="0"/>
          <w:sz w:val="21"/>
          <w:szCs w:val="21"/>
          <w14:ligatures w14:val="none"/>
        </w:rPr>
        <w:t>Akbank</w:t>
      </w:r>
      <w:proofErr w:type="spellEnd"/>
      <w:r w:rsidRPr="00974F54">
        <w:rPr>
          <w:rFonts w:eastAsia="Times New Roman" w:cs="Arial"/>
          <w:color w:val="1A1C1E"/>
          <w:kern w:val="0"/>
          <w:sz w:val="21"/>
          <w:szCs w:val="21"/>
          <w14:ligatures w14:val="none"/>
        </w:rPr>
        <w:t>, Garanti) have issued billions in DPR-backed securities. They net not only worker remittances but also export-related payments and tourist credit card swipes.</w:t>
      </w:r>
    </w:p>
    <w:p w14:paraId="7CE9B570" w14:textId="77777777" w:rsidR="00974F54" w:rsidRPr="00974F54" w:rsidRDefault="00974F54" w:rsidP="00974F54">
      <w:pPr>
        <w:numPr>
          <w:ilvl w:val="0"/>
          <w:numId w:val="3"/>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lastRenderedPageBreak/>
        <w:t>Sub-Saharan Africa:</w:t>
      </w:r>
      <w:r w:rsidRPr="00974F54">
        <w:rPr>
          <w:rFonts w:eastAsia="Times New Roman" w:cs="Arial"/>
          <w:color w:val="1A1C1E"/>
          <w:kern w:val="0"/>
          <w:sz w:val="21"/>
          <w:szCs w:val="21"/>
          <w14:ligatures w14:val="none"/>
        </w:rPr>
        <w:t> A growing but difficult market. </w:t>
      </w:r>
      <w:proofErr w:type="spellStart"/>
      <w:r w:rsidRPr="00974F54">
        <w:rPr>
          <w:rFonts w:eastAsia="Times New Roman" w:cs="Arial"/>
          <w:b/>
          <w:bCs/>
          <w:color w:val="1A1C1E"/>
          <w:kern w:val="0"/>
          <w:sz w:val="21"/>
          <w:szCs w:val="21"/>
          <w14:ligatures w14:val="none"/>
        </w:rPr>
        <w:t>Afreximbank</w:t>
      </w:r>
      <w:proofErr w:type="spellEnd"/>
      <w:r w:rsidRPr="00974F54">
        <w:rPr>
          <w:rFonts w:eastAsia="Times New Roman" w:cs="Arial"/>
          <w:color w:val="1A1C1E"/>
          <w:kern w:val="0"/>
          <w:sz w:val="21"/>
          <w:szCs w:val="21"/>
          <w14:ligatures w14:val="none"/>
        </w:rPr>
        <w:t> has championed "Remittance-Backed Securities" to help African nations fund infrastructure, though high regulatory friction and lower transparency in some corridors remain hurdles.</w:t>
      </w:r>
    </w:p>
    <w:p w14:paraId="2CE295A8" w14:textId="77777777" w:rsidR="00974F54" w:rsidRPr="00974F54" w:rsidRDefault="00974F54" w:rsidP="00974F54">
      <w:pPr>
        <w:shd w:val="clear" w:color="auto" w:fill="FFFFFF"/>
        <w:spacing w:after="240" w:line="240" w:lineRule="auto"/>
        <w:outlineLvl w:val="2"/>
        <w:rPr>
          <w:rFonts w:eastAsia="Times New Roman" w:cs="Arial"/>
          <w:b/>
          <w:bCs/>
          <w:color w:val="1A1C1E"/>
          <w:kern w:val="0"/>
          <w:sz w:val="27"/>
          <w:szCs w:val="27"/>
          <w14:ligatures w14:val="none"/>
        </w:rPr>
      </w:pPr>
      <w:r w:rsidRPr="00974F54">
        <w:rPr>
          <w:rFonts w:eastAsia="Times New Roman" w:cs="Arial"/>
          <w:b/>
          <w:bCs/>
          <w:color w:val="1A1C1E"/>
          <w:kern w:val="0"/>
          <w:sz w:val="27"/>
          <w:szCs w:val="27"/>
          <w14:ligatures w14:val="none"/>
        </w:rPr>
        <w:t>4. Current Trends (2024–2026)</w:t>
      </w:r>
    </w:p>
    <w:p w14:paraId="0B940D33" w14:textId="77777777" w:rsidR="00974F54" w:rsidRPr="00974F54" w:rsidRDefault="00974F54" w:rsidP="00974F54">
      <w:pPr>
        <w:numPr>
          <w:ilvl w:val="0"/>
          <w:numId w:val="4"/>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Digital Remittance Netting:</w:t>
      </w:r>
      <w:r w:rsidRPr="00974F54">
        <w:rPr>
          <w:rFonts w:eastAsia="Times New Roman" w:cs="Arial"/>
          <w:color w:val="1A1C1E"/>
          <w:kern w:val="0"/>
          <w:sz w:val="21"/>
          <w:szCs w:val="21"/>
          <w14:ligatures w14:val="none"/>
        </w:rPr>
        <w:t xml:space="preserve"> The rise of aggregators (Wise, </w:t>
      </w:r>
      <w:proofErr w:type="spellStart"/>
      <w:r w:rsidRPr="00974F54">
        <w:rPr>
          <w:rFonts w:eastAsia="Times New Roman" w:cs="Arial"/>
          <w:color w:val="1A1C1E"/>
          <w:kern w:val="0"/>
          <w:sz w:val="21"/>
          <w:szCs w:val="21"/>
          <w14:ligatures w14:val="none"/>
        </w:rPr>
        <w:t>Remitly</w:t>
      </w:r>
      <w:proofErr w:type="spellEnd"/>
      <w:r w:rsidRPr="00974F54">
        <w:rPr>
          <w:rFonts w:eastAsia="Times New Roman" w:cs="Arial"/>
          <w:color w:val="1A1C1E"/>
          <w:kern w:val="0"/>
          <w:sz w:val="21"/>
          <w:szCs w:val="21"/>
          <w14:ligatures w14:val="none"/>
        </w:rPr>
        <w:t>) has made the "flow" easier to track and predict. Modern securitizations now include "Digital Data Rights" as part of the collateral pool.</w:t>
      </w:r>
    </w:p>
    <w:p w14:paraId="49CB15B9" w14:textId="77777777" w:rsidR="00974F54" w:rsidRPr="00974F54" w:rsidRDefault="00974F54" w:rsidP="00974F54">
      <w:pPr>
        <w:numPr>
          <w:ilvl w:val="0"/>
          <w:numId w:val="4"/>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Blockchain and Stablecoins:</w:t>
      </w:r>
      <w:r w:rsidRPr="00974F54">
        <w:rPr>
          <w:rFonts w:eastAsia="Times New Roman" w:cs="Arial"/>
          <w:color w:val="1A1C1E"/>
          <w:kern w:val="0"/>
          <w:sz w:val="21"/>
          <w:szCs w:val="21"/>
          <w14:ligatures w14:val="none"/>
        </w:rPr>
        <w:t> Some emerging platforms are experimenting with tokenizing future remittance flows. This allows smaller "Series A" Tradetech firms to participate in what was previously a market reserved only for massive commercial banks.</w:t>
      </w:r>
    </w:p>
    <w:p w14:paraId="0F0D3CE4" w14:textId="77777777" w:rsidR="00974F54" w:rsidRPr="00974F54" w:rsidRDefault="00974F54" w:rsidP="00974F54">
      <w:pPr>
        <w:numPr>
          <w:ilvl w:val="0"/>
          <w:numId w:val="4"/>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ESG and Green Bonds:</w:t>
      </w:r>
      <w:r w:rsidRPr="00974F54">
        <w:rPr>
          <w:rFonts w:eastAsia="Times New Roman" w:cs="Arial"/>
          <w:color w:val="1A1C1E"/>
          <w:kern w:val="0"/>
          <w:sz w:val="21"/>
          <w:szCs w:val="21"/>
          <w14:ligatures w14:val="none"/>
        </w:rPr>
        <w:t> There is a move toward "Social Remittance Bonds," where the proceeds of the securitization are legally mandated to be used for social projects (health, education) in the migrant's home country.</w:t>
      </w:r>
    </w:p>
    <w:p w14:paraId="09E5B2C6" w14:textId="77777777" w:rsidR="00974F54" w:rsidRPr="00974F54" w:rsidRDefault="00974F54" w:rsidP="00974F54">
      <w:pPr>
        <w:shd w:val="clear" w:color="auto" w:fill="FFFFFF"/>
        <w:spacing w:after="240" w:line="240" w:lineRule="auto"/>
        <w:outlineLvl w:val="2"/>
        <w:rPr>
          <w:rFonts w:eastAsia="Times New Roman" w:cs="Arial"/>
          <w:b/>
          <w:bCs/>
          <w:color w:val="1A1C1E"/>
          <w:kern w:val="0"/>
          <w:sz w:val="27"/>
          <w:szCs w:val="27"/>
          <w14:ligatures w14:val="none"/>
        </w:rPr>
      </w:pPr>
      <w:r w:rsidRPr="00974F54">
        <w:rPr>
          <w:rFonts w:eastAsia="Times New Roman" w:cs="Arial"/>
          <w:b/>
          <w:bCs/>
          <w:color w:val="1A1C1E"/>
          <w:kern w:val="0"/>
          <w:sz w:val="27"/>
          <w:szCs w:val="27"/>
          <w14:ligatures w14:val="none"/>
        </w:rPr>
        <w:t>5. Risks and Challenges</w:t>
      </w:r>
    </w:p>
    <w:p w14:paraId="4C081565" w14:textId="77777777" w:rsidR="00974F54" w:rsidRPr="00974F54" w:rsidRDefault="00974F54" w:rsidP="00974F54">
      <w:pPr>
        <w:numPr>
          <w:ilvl w:val="0"/>
          <w:numId w:val="5"/>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Dependency Risk:</w:t>
      </w:r>
      <w:r w:rsidRPr="00974F54">
        <w:rPr>
          <w:rFonts w:eastAsia="Times New Roman" w:cs="Arial"/>
          <w:color w:val="1A1C1E"/>
          <w:kern w:val="0"/>
          <w:sz w:val="21"/>
          <w:szCs w:val="21"/>
          <w14:ligatures w14:val="none"/>
        </w:rPr>
        <w:t> If a major migrant-hosting country (e.g., UAE or USA) changes its immigration policy or suffers a recession, the remittance flow could drop, triggering a technical default on the bonds.</w:t>
      </w:r>
    </w:p>
    <w:p w14:paraId="6D2997C2" w14:textId="77777777" w:rsidR="00974F54" w:rsidRPr="00974F54" w:rsidRDefault="00974F54" w:rsidP="00974F54">
      <w:pPr>
        <w:numPr>
          <w:ilvl w:val="0"/>
          <w:numId w:val="5"/>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Legal Complexity:</w:t>
      </w:r>
      <w:r w:rsidRPr="00974F54">
        <w:rPr>
          <w:rFonts w:eastAsia="Times New Roman" w:cs="Arial"/>
          <w:color w:val="1A1C1E"/>
          <w:kern w:val="0"/>
          <w:sz w:val="21"/>
          <w:szCs w:val="21"/>
          <w14:ligatures w14:val="none"/>
        </w:rPr>
        <w:t> These deals require a high level of legal sophistication and trust in the "Offshore" structure, which many smaller LMIC banks lack.</w:t>
      </w:r>
    </w:p>
    <w:p w14:paraId="6FAFE609" w14:textId="77777777" w:rsidR="00974F54" w:rsidRPr="00974F54" w:rsidRDefault="00974F54" w:rsidP="00974F54">
      <w:pPr>
        <w:numPr>
          <w:ilvl w:val="0"/>
          <w:numId w:val="5"/>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Exchange Rate Volatility:</w:t>
      </w:r>
      <w:r w:rsidRPr="00974F54">
        <w:rPr>
          <w:rFonts w:eastAsia="Times New Roman" w:cs="Arial"/>
          <w:color w:val="1A1C1E"/>
          <w:kern w:val="0"/>
          <w:sz w:val="21"/>
          <w:szCs w:val="21"/>
          <w14:ligatures w14:val="none"/>
        </w:rPr>
        <w:t> While the bonds are in USD/EUR, the local bank's liabilities are often in local currency, creating a mismatch if the local currency crashes.</w:t>
      </w:r>
    </w:p>
    <w:p w14:paraId="34364F97" w14:textId="77777777" w:rsidR="00974F54" w:rsidRPr="00974F54" w:rsidRDefault="00974F54" w:rsidP="00974F54">
      <w:pPr>
        <w:shd w:val="clear" w:color="auto" w:fill="FFFFFF"/>
        <w:spacing w:after="120" w:line="240" w:lineRule="auto"/>
        <w:outlineLvl w:val="2"/>
        <w:rPr>
          <w:rFonts w:eastAsia="Times New Roman" w:cs="Arial"/>
          <w:b/>
          <w:bCs/>
          <w:color w:val="1A1C1E"/>
          <w:kern w:val="0"/>
          <w14:ligatures w14:val="none"/>
        </w:rPr>
      </w:pPr>
      <w:r w:rsidRPr="00974F54">
        <w:rPr>
          <w:rFonts w:eastAsia="Times New Roman" w:cs="Arial"/>
          <w:b/>
          <w:bCs/>
          <w:color w:val="1A1C1E"/>
          <w:kern w:val="0"/>
          <w14:ligatures w14:val="none"/>
        </w:rPr>
        <w:t>Sources of Information</w:t>
      </w:r>
    </w:p>
    <w:p w14:paraId="22982514" w14:textId="77777777" w:rsidR="00974F54" w:rsidRPr="00974F54" w:rsidRDefault="00974F54" w:rsidP="00974F54">
      <w:pPr>
        <w:numPr>
          <w:ilvl w:val="0"/>
          <w:numId w:val="6"/>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World Bank (KNOMAD):</w:t>
      </w:r>
      <w:r w:rsidRPr="00974F54">
        <w:rPr>
          <w:rFonts w:eastAsia="Times New Roman" w:cs="Arial"/>
          <w:color w:val="1A1C1E"/>
          <w:kern w:val="0"/>
          <w:sz w:val="21"/>
          <w:szCs w:val="21"/>
          <w14:ligatures w14:val="none"/>
        </w:rPr>
        <w:t> </w:t>
      </w:r>
      <w:r w:rsidRPr="00974F54">
        <w:rPr>
          <w:rFonts w:eastAsia="Times New Roman" w:cs="Arial"/>
          <w:i/>
          <w:iCs/>
          <w:color w:val="1A1C1E"/>
          <w:kern w:val="0"/>
          <w:sz w:val="21"/>
          <w:szCs w:val="21"/>
          <w14:ligatures w14:val="none"/>
        </w:rPr>
        <w:t>Migration and Development Briefs</w:t>
      </w:r>
      <w:r w:rsidRPr="00974F54">
        <w:rPr>
          <w:rFonts w:eastAsia="Times New Roman" w:cs="Arial"/>
          <w:color w:val="1A1C1E"/>
          <w:kern w:val="0"/>
          <w:sz w:val="21"/>
          <w:szCs w:val="21"/>
          <w14:ligatures w14:val="none"/>
        </w:rPr>
        <w:t> and the paper </w:t>
      </w:r>
      <w:r w:rsidRPr="00974F54">
        <w:rPr>
          <w:rFonts w:eastAsia="Times New Roman" w:cs="Arial"/>
          <w:i/>
          <w:iCs/>
          <w:color w:val="1A1C1E"/>
          <w:kern w:val="0"/>
          <w:sz w:val="21"/>
          <w:szCs w:val="21"/>
          <w14:ligatures w14:val="none"/>
        </w:rPr>
        <w:t>"Leveraging Remittances for International Capital Market Access"</w:t>
      </w:r>
      <w:r w:rsidRPr="00974F54">
        <w:rPr>
          <w:rFonts w:eastAsia="Times New Roman" w:cs="Arial"/>
          <w:color w:val="1A1C1E"/>
          <w:kern w:val="0"/>
          <w:sz w:val="21"/>
          <w:szCs w:val="21"/>
          <w14:ligatures w14:val="none"/>
        </w:rPr>
        <w:t> by Dilip Ratha. This is the primary academic and statistical source for remittance-backed financing.</w:t>
      </w:r>
    </w:p>
    <w:p w14:paraId="41D34635" w14:textId="77777777" w:rsidR="00974F54" w:rsidRPr="00974F54" w:rsidRDefault="00974F54" w:rsidP="00974F54">
      <w:pPr>
        <w:numPr>
          <w:ilvl w:val="0"/>
          <w:numId w:val="6"/>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IMF (International Monetary Fund):</w:t>
      </w:r>
      <w:r w:rsidRPr="00974F54">
        <w:rPr>
          <w:rFonts w:eastAsia="Times New Roman" w:cs="Arial"/>
          <w:color w:val="1A1C1E"/>
          <w:kern w:val="0"/>
          <w:sz w:val="21"/>
          <w:szCs w:val="21"/>
          <w14:ligatures w14:val="none"/>
        </w:rPr>
        <w:t> </w:t>
      </w:r>
      <w:r w:rsidRPr="00974F54">
        <w:rPr>
          <w:rFonts w:eastAsia="Times New Roman" w:cs="Arial"/>
          <w:i/>
          <w:iCs/>
          <w:color w:val="1A1C1E"/>
          <w:kern w:val="0"/>
          <w:sz w:val="21"/>
          <w:szCs w:val="21"/>
          <w14:ligatures w14:val="none"/>
        </w:rPr>
        <w:t>Working Paper: "A Global Survey of Business Cycles in Remittances."</w:t>
      </w:r>
      <w:r w:rsidRPr="00974F54">
        <w:rPr>
          <w:rFonts w:eastAsia="Times New Roman" w:cs="Arial"/>
          <w:color w:val="1A1C1E"/>
          <w:kern w:val="0"/>
          <w:sz w:val="21"/>
          <w:szCs w:val="21"/>
          <w14:ligatures w14:val="none"/>
        </w:rPr>
        <w:t xml:space="preserve"> This provides </w:t>
      </w:r>
      <w:proofErr w:type="gramStart"/>
      <w:r w:rsidRPr="00974F54">
        <w:rPr>
          <w:rFonts w:eastAsia="Times New Roman" w:cs="Arial"/>
          <w:color w:val="1A1C1E"/>
          <w:kern w:val="0"/>
          <w:sz w:val="21"/>
          <w:szCs w:val="21"/>
          <w14:ligatures w14:val="none"/>
        </w:rPr>
        <w:t>the macro</w:t>
      </w:r>
      <w:proofErr w:type="gramEnd"/>
      <w:r w:rsidRPr="00974F54">
        <w:rPr>
          <w:rFonts w:eastAsia="Times New Roman" w:cs="Arial"/>
          <w:color w:val="1A1C1E"/>
          <w:kern w:val="0"/>
          <w:sz w:val="21"/>
          <w:szCs w:val="21"/>
          <w14:ligatures w14:val="none"/>
        </w:rPr>
        <w:t>-economic data on the stability of these flows.</w:t>
      </w:r>
    </w:p>
    <w:p w14:paraId="61394634" w14:textId="77777777" w:rsidR="00974F54" w:rsidRPr="00974F54" w:rsidRDefault="00974F54" w:rsidP="00974F54">
      <w:pPr>
        <w:numPr>
          <w:ilvl w:val="0"/>
          <w:numId w:val="6"/>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Fitch Ratings / Moody's Investor Service:</w:t>
      </w:r>
      <w:r w:rsidRPr="00974F54">
        <w:rPr>
          <w:rFonts w:eastAsia="Times New Roman" w:cs="Arial"/>
          <w:color w:val="1A1C1E"/>
          <w:kern w:val="0"/>
          <w:sz w:val="21"/>
          <w:szCs w:val="21"/>
          <w14:ligatures w14:val="none"/>
        </w:rPr>
        <w:t> These agencies publish the actual </w:t>
      </w:r>
      <w:r w:rsidRPr="00974F54">
        <w:rPr>
          <w:rFonts w:eastAsia="Times New Roman" w:cs="Arial"/>
          <w:b/>
          <w:bCs/>
          <w:color w:val="1A1C1E"/>
          <w:kern w:val="0"/>
          <w:sz w:val="21"/>
          <w:szCs w:val="21"/>
          <w14:ligatures w14:val="none"/>
        </w:rPr>
        <w:t>DPR Rating Criteria</w:t>
      </w:r>
      <w:r w:rsidRPr="00974F54">
        <w:rPr>
          <w:rFonts w:eastAsia="Times New Roman" w:cs="Arial"/>
          <w:color w:val="1A1C1E"/>
          <w:kern w:val="0"/>
          <w:sz w:val="21"/>
          <w:szCs w:val="21"/>
          <w14:ligatures w14:val="none"/>
        </w:rPr>
        <w:t xml:space="preserve"> and specific transaction reports for banks like </w:t>
      </w:r>
      <w:proofErr w:type="spellStart"/>
      <w:r w:rsidRPr="00974F54">
        <w:rPr>
          <w:rFonts w:eastAsia="Times New Roman" w:cs="Arial"/>
          <w:color w:val="1A1C1E"/>
          <w:kern w:val="0"/>
          <w:sz w:val="21"/>
          <w:szCs w:val="21"/>
          <w14:ligatures w14:val="none"/>
        </w:rPr>
        <w:t>Akbank</w:t>
      </w:r>
      <w:proofErr w:type="spellEnd"/>
      <w:r w:rsidRPr="00974F54">
        <w:rPr>
          <w:rFonts w:eastAsia="Times New Roman" w:cs="Arial"/>
          <w:color w:val="1A1C1E"/>
          <w:kern w:val="0"/>
          <w:sz w:val="21"/>
          <w:szCs w:val="21"/>
          <w14:ligatures w14:val="none"/>
        </w:rPr>
        <w:t xml:space="preserve"> (Turkey) or Banco de Credito (Peru), which detail how the securitization is structured.</w:t>
      </w:r>
    </w:p>
    <w:p w14:paraId="6D4728C2" w14:textId="77777777" w:rsidR="00974F54" w:rsidRPr="00974F54" w:rsidRDefault="00974F54" w:rsidP="00974F54">
      <w:pPr>
        <w:numPr>
          <w:ilvl w:val="0"/>
          <w:numId w:val="6"/>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African Development Bank (AfDB):</w:t>
      </w:r>
      <w:r w:rsidRPr="00974F54">
        <w:rPr>
          <w:rFonts w:eastAsia="Times New Roman" w:cs="Arial"/>
          <w:color w:val="1A1C1E"/>
          <w:kern w:val="0"/>
          <w:sz w:val="21"/>
          <w:szCs w:val="21"/>
          <w14:ligatures w14:val="none"/>
        </w:rPr>
        <w:t> </w:t>
      </w:r>
      <w:r w:rsidRPr="00974F54">
        <w:rPr>
          <w:rFonts w:eastAsia="Times New Roman" w:cs="Arial"/>
          <w:i/>
          <w:iCs/>
          <w:color w:val="1A1C1E"/>
          <w:kern w:val="0"/>
          <w:sz w:val="21"/>
          <w:szCs w:val="21"/>
          <w14:ligatures w14:val="none"/>
        </w:rPr>
        <w:t>Regional Reports on African Remittance Securitization</w:t>
      </w:r>
      <w:r w:rsidRPr="00974F54">
        <w:rPr>
          <w:rFonts w:eastAsia="Times New Roman" w:cs="Arial"/>
          <w:color w:val="1A1C1E"/>
          <w:kern w:val="0"/>
          <w:sz w:val="21"/>
          <w:szCs w:val="21"/>
          <w14:ligatures w14:val="none"/>
        </w:rPr>
        <w:t>, specifically focusing on the legal hurdles in the ECOWAS and SADC regions.</w:t>
      </w:r>
    </w:p>
    <w:p w14:paraId="5DF37B95" w14:textId="77777777" w:rsidR="00974F54" w:rsidRPr="00974F54" w:rsidRDefault="00974F54" w:rsidP="00974F54">
      <w:pPr>
        <w:numPr>
          <w:ilvl w:val="0"/>
          <w:numId w:val="6"/>
        </w:numPr>
        <w:shd w:val="clear" w:color="auto" w:fill="FFFFFF"/>
        <w:spacing w:after="120" w:line="240" w:lineRule="auto"/>
        <w:rPr>
          <w:rFonts w:eastAsia="Times New Roman" w:cs="Arial"/>
          <w:color w:val="1A1C1E"/>
          <w:kern w:val="0"/>
          <w:sz w:val="21"/>
          <w:szCs w:val="21"/>
          <w14:ligatures w14:val="none"/>
        </w:rPr>
      </w:pPr>
      <w:r w:rsidRPr="00974F54">
        <w:rPr>
          <w:rFonts w:eastAsia="Times New Roman" w:cs="Arial"/>
          <w:b/>
          <w:bCs/>
          <w:color w:val="1A1C1E"/>
          <w:kern w:val="0"/>
          <w:sz w:val="21"/>
          <w:szCs w:val="21"/>
          <w14:ligatures w14:val="none"/>
        </w:rPr>
        <w:t>Bank for International Settlements (BIS):</w:t>
      </w:r>
      <w:r w:rsidRPr="00974F54">
        <w:rPr>
          <w:rFonts w:eastAsia="Times New Roman" w:cs="Arial"/>
          <w:color w:val="1A1C1E"/>
          <w:kern w:val="0"/>
          <w:sz w:val="21"/>
          <w:szCs w:val="21"/>
          <w14:ligatures w14:val="none"/>
        </w:rPr>
        <w:t> </w:t>
      </w:r>
      <w:r w:rsidRPr="00974F54">
        <w:rPr>
          <w:rFonts w:eastAsia="Times New Roman" w:cs="Arial"/>
          <w:i/>
          <w:iCs/>
          <w:color w:val="1A1C1E"/>
          <w:kern w:val="0"/>
          <w:sz w:val="21"/>
          <w:szCs w:val="21"/>
          <w14:ligatures w14:val="none"/>
        </w:rPr>
        <w:t>CPMI Papers on Cross-border Payments</w:t>
      </w:r>
      <w:r w:rsidRPr="00974F54">
        <w:rPr>
          <w:rFonts w:eastAsia="Times New Roman" w:cs="Arial"/>
          <w:color w:val="1A1C1E"/>
          <w:kern w:val="0"/>
          <w:sz w:val="21"/>
          <w:szCs w:val="21"/>
          <w14:ligatures w14:val="none"/>
        </w:rPr>
        <w:t>, which discuss the technical settlement of the Diversified Payment Rights.</w:t>
      </w:r>
    </w:p>
    <w:p w14:paraId="374316B5" w14:textId="0E31CD8A" w:rsidR="00A03483" w:rsidRPr="00974F54" w:rsidRDefault="00974F54" w:rsidP="00974F54">
      <w:pPr>
        <w:numPr>
          <w:ilvl w:val="0"/>
          <w:numId w:val="6"/>
        </w:numPr>
        <w:shd w:val="clear" w:color="auto" w:fill="FFFFFF"/>
        <w:spacing w:after="120" w:line="240" w:lineRule="auto"/>
        <w:rPr>
          <w:rFonts w:eastAsia="Times New Roman" w:cs="Arial"/>
          <w:color w:val="1A1C1E"/>
          <w:kern w:val="0"/>
          <w:sz w:val="21"/>
          <w:szCs w:val="21"/>
          <w14:ligatures w14:val="none"/>
        </w:rPr>
      </w:pPr>
      <w:proofErr w:type="spellStart"/>
      <w:r w:rsidRPr="00974F54">
        <w:rPr>
          <w:rFonts w:eastAsia="Times New Roman" w:cs="Arial"/>
          <w:b/>
          <w:bCs/>
          <w:color w:val="1A1C1E"/>
          <w:kern w:val="0"/>
          <w:sz w:val="21"/>
          <w:szCs w:val="21"/>
          <w14:ligatures w14:val="none"/>
        </w:rPr>
        <w:t>Afreximbank</w:t>
      </w:r>
      <w:proofErr w:type="spellEnd"/>
      <w:r w:rsidRPr="00974F54">
        <w:rPr>
          <w:rFonts w:eastAsia="Times New Roman" w:cs="Arial"/>
          <w:b/>
          <w:bCs/>
          <w:color w:val="1A1C1E"/>
          <w:kern w:val="0"/>
          <w:sz w:val="21"/>
          <w:szCs w:val="21"/>
          <w14:ligatures w14:val="none"/>
        </w:rPr>
        <w:t>:</w:t>
      </w:r>
      <w:r w:rsidRPr="00974F54">
        <w:rPr>
          <w:rFonts w:eastAsia="Times New Roman" w:cs="Arial"/>
          <w:color w:val="1A1C1E"/>
          <w:kern w:val="0"/>
          <w:sz w:val="21"/>
          <w:szCs w:val="21"/>
          <w14:ligatures w14:val="none"/>
        </w:rPr>
        <w:t> </w:t>
      </w:r>
      <w:r w:rsidRPr="00974F54">
        <w:rPr>
          <w:rFonts w:eastAsia="Times New Roman" w:cs="Arial"/>
          <w:i/>
          <w:iCs/>
          <w:color w:val="1A1C1E"/>
          <w:kern w:val="0"/>
          <w:sz w:val="21"/>
          <w:szCs w:val="21"/>
          <w14:ligatures w14:val="none"/>
        </w:rPr>
        <w:t>Annual Trade Reports</w:t>
      </w:r>
      <w:r w:rsidRPr="00974F54">
        <w:rPr>
          <w:rFonts w:eastAsia="Times New Roman" w:cs="Arial"/>
          <w:color w:val="1A1C1E"/>
          <w:kern w:val="0"/>
          <w:sz w:val="21"/>
          <w:szCs w:val="21"/>
          <w14:ligatures w14:val="none"/>
        </w:rPr>
        <w:t>, which outline current efforts to formalize remittance-backed securities for African infrastructure development.</w:t>
      </w:r>
    </w:p>
    <w:sectPr w:rsidR="00A03483" w:rsidRPr="00974F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C1EDD"/>
    <w:multiLevelType w:val="multilevel"/>
    <w:tmpl w:val="69147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616BD5"/>
    <w:multiLevelType w:val="multilevel"/>
    <w:tmpl w:val="D0F8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C25C1F"/>
    <w:multiLevelType w:val="multilevel"/>
    <w:tmpl w:val="9738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0040E"/>
    <w:multiLevelType w:val="multilevel"/>
    <w:tmpl w:val="9F28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706AB5"/>
    <w:multiLevelType w:val="multilevel"/>
    <w:tmpl w:val="EF42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0E62FB"/>
    <w:multiLevelType w:val="multilevel"/>
    <w:tmpl w:val="1006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2973435">
    <w:abstractNumId w:val="1"/>
  </w:num>
  <w:num w:numId="2" w16cid:durableId="1940991190">
    <w:abstractNumId w:val="2"/>
  </w:num>
  <w:num w:numId="3" w16cid:durableId="1028680809">
    <w:abstractNumId w:val="4"/>
  </w:num>
  <w:num w:numId="4" w16cid:durableId="1804226951">
    <w:abstractNumId w:val="3"/>
  </w:num>
  <w:num w:numId="5" w16cid:durableId="1457017902">
    <w:abstractNumId w:val="5"/>
  </w:num>
  <w:num w:numId="6" w16cid:durableId="80677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GwMDOwMDawMDQ1sDRV0lEKTi0uzszPAykwrAUAQoHpFywAAAA="/>
  </w:docVars>
  <w:rsids>
    <w:rsidRoot w:val="00974F54"/>
    <w:rsid w:val="00351547"/>
    <w:rsid w:val="005020E7"/>
    <w:rsid w:val="00974F54"/>
    <w:rsid w:val="0098613E"/>
    <w:rsid w:val="00A03483"/>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CD4BD"/>
  <w15:chartTrackingRefBased/>
  <w15:docId w15:val="{0235CFC3-B4DB-45EB-8482-5BCB44C7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F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4F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4F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4F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4F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F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F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F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F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F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4F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4F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F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F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F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F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F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F54"/>
    <w:rPr>
      <w:rFonts w:eastAsiaTheme="majorEastAsia" w:cstheme="majorBidi"/>
      <w:color w:val="272727" w:themeColor="text1" w:themeTint="D8"/>
    </w:rPr>
  </w:style>
  <w:style w:type="paragraph" w:styleId="Title">
    <w:name w:val="Title"/>
    <w:basedOn w:val="Normal"/>
    <w:next w:val="Normal"/>
    <w:link w:val="TitleChar"/>
    <w:uiPriority w:val="10"/>
    <w:qFormat/>
    <w:rsid w:val="00974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F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F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F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F54"/>
    <w:pPr>
      <w:spacing w:before="160"/>
      <w:jc w:val="center"/>
    </w:pPr>
    <w:rPr>
      <w:i/>
      <w:iCs/>
      <w:color w:val="404040" w:themeColor="text1" w:themeTint="BF"/>
    </w:rPr>
  </w:style>
  <w:style w:type="character" w:customStyle="1" w:styleId="QuoteChar">
    <w:name w:val="Quote Char"/>
    <w:basedOn w:val="DefaultParagraphFont"/>
    <w:link w:val="Quote"/>
    <w:uiPriority w:val="29"/>
    <w:rsid w:val="00974F54"/>
    <w:rPr>
      <w:i/>
      <w:iCs/>
      <w:color w:val="404040" w:themeColor="text1" w:themeTint="BF"/>
    </w:rPr>
  </w:style>
  <w:style w:type="paragraph" w:styleId="ListParagraph">
    <w:name w:val="List Paragraph"/>
    <w:basedOn w:val="Normal"/>
    <w:uiPriority w:val="34"/>
    <w:qFormat/>
    <w:rsid w:val="00974F54"/>
    <w:pPr>
      <w:ind w:left="720"/>
      <w:contextualSpacing/>
    </w:pPr>
  </w:style>
  <w:style w:type="character" w:styleId="IntenseEmphasis">
    <w:name w:val="Intense Emphasis"/>
    <w:basedOn w:val="DefaultParagraphFont"/>
    <w:uiPriority w:val="21"/>
    <w:qFormat/>
    <w:rsid w:val="00974F54"/>
    <w:rPr>
      <w:i/>
      <w:iCs/>
      <w:color w:val="0F4761" w:themeColor="accent1" w:themeShade="BF"/>
    </w:rPr>
  </w:style>
  <w:style w:type="paragraph" w:styleId="IntenseQuote">
    <w:name w:val="Intense Quote"/>
    <w:basedOn w:val="Normal"/>
    <w:next w:val="Normal"/>
    <w:link w:val="IntenseQuoteChar"/>
    <w:uiPriority w:val="30"/>
    <w:qFormat/>
    <w:rsid w:val="00974F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F54"/>
    <w:rPr>
      <w:i/>
      <w:iCs/>
      <w:color w:val="0F4761" w:themeColor="accent1" w:themeShade="BF"/>
    </w:rPr>
  </w:style>
  <w:style w:type="character" w:styleId="IntenseReference">
    <w:name w:val="Intense Reference"/>
    <w:basedOn w:val="DefaultParagraphFont"/>
    <w:uiPriority w:val="32"/>
    <w:qFormat/>
    <w:rsid w:val="00974F54"/>
    <w:rPr>
      <w:b/>
      <w:bCs/>
      <w:smallCaps/>
      <w:color w:val="0F4761" w:themeColor="accent1" w:themeShade="BF"/>
      <w:spacing w:val="5"/>
    </w:rPr>
  </w:style>
  <w:style w:type="paragraph" w:customStyle="1" w:styleId="ng-star-inserted">
    <w:name w:val="ng-star-inserted"/>
    <w:basedOn w:val="Normal"/>
    <w:rsid w:val="00974F5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974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801</Words>
  <Characters>4692</Characters>
  <Application>Microsoft Office Word</Application>
  <DocSecurity>0</DocSecurity>
  <Lines>75</Lines>
  <Paragraphs>37</Paragraphs>
  <ScaleCrop>false</ScaleCrop>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1</cp:revision>
  <dcterms:created xsi:type="dcterms:W3CDTF">2026-02-06T21:14:00Z</dcterms:created>
  <dcterms:modified xsi:type="dcterms:W3CDTF">2026-02-06T21:17:00Z</dcterms:modified>
</cp:coreProperties>
</file>