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D507C" w14:textId="502C59C0" w:rsidR="00F305C4" w:rsidRPr="00F305C4" w:rsidRDefault="00F305C4" w:rsidP="00F305C4">
      <w:pPr>
        <w:spacing w:after="120" w:line="240" w:lineRule="auto"/>
        <w:rPr>
          <w:rFonts w:eastAsia="Times New Roman" w:cs="Times New Roman"/>
          <w:b/>
          <w:bCs/>
          <w:kern w:val="0"/>
          <w:sz w:val="28"/>
          <w:szCs w:val="28"/>
          <w14:ligatures w14:val="none"/>
        </w:rPr>
      </w:pPr>
      <w:r w:rsidRPr="00F305C4">
        <w:rPr>
          <w:rFonts w:eastAsia="Times New Roman" w:cs="Times New Roman"/>
          <w:b/>
          <w:bCs/>
          <w:kern w:val="0"/>
          <w:sz w:val="28"/>
          <w:szCs w:val="28"/>
          <w14:ligatures w14:val="none"/>
        </w:rPr>
        <w:t>Class IIGB Captive Software Requirements</w:t>
      </w:r>
    </w:p>
    <w:p w14:paraId="12165EDF" w14:textId="77777777" w:rsidR="00F305C4" w:rsidRDefault="00F305C4" w:rsidP="00F305C4">
      <w:pPr>
        <w:spacing w:after="0" w:line="240" w:lineRule="auto"/>
        <w:rPr>
          <w:rFonts w:eastAsia="Times New Roman" w:cs="Times New Roman"/>
          <w:kern w:val="0"/>
          <w:sz w:val="21"/>
          <w:szCs w:val="21"/>
          <w14:ligatures w14:val="none"/>
        </w:rPr>
      </w:pPr>
    </w:p>
    <w:p w14:paraId="0913C72C"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Based on the </w:t>
      </w:r>
      <w:r w:rsidRPr="00F305C4">
        <w:rPr>
          <w:rFonts w:eastAsia="Times New Roman" w:cs="Arial"/>
          <w:b/>
          <w:bCs/>
          <w:color w:val="2B2D31"/>
          <w:kern w:val="0"/>
          <w:sz w:val="21"/>
          <w:szCs w:val="21"/>
          <w14:ligatures w14:val="none"/>
        </w:rPr>
        <w:t>Bermuda Monetary Authority (BMA)</w:t>
      </w:r>
      <w:r w:rsidRPr="00F305C4">
        <w:rPr>
          <w:rFonts w:eastAsia="Times New Roman" w:cs="Arial"/>
          <w:color w:val="2B2D31"/>
          <w:kern w:val="0"/>
          <w:sz w:val="21"/>
          <w:szCs w:val="21"/>
          <w14:ligatures w14:val="none"/>
        </w:rPr>
        <w:t> framework, you are referring to the </w:t>
      </w:r>
      <w:r w:rsidRPr="00F305C4">
        <w:rPr>
          <w:rFonts w:eastAsia="Times New Roman" w:cs="Arial"/>
          <w:b/>
          <w:bCs/>
          <w:color w:val="2B2D31"/>
          <w:kern w:val="0"/>
          <w:sz w:val="21"/>
          <w:szCs w:val="21"/>
          <w14:ligatures w14:val="none"/>
        </w:rPr>
        <w:t>Class IGB (Innovative General Business)</w:t>
      </w:r>
      <w:r w:rsidRPr="00F305C4">
        <w:rPr>
          <w:rFonts w:eastAsia="Times New Roman" w:cs="Arial"/>
          <w:color w:val="2B2D31"/>
          <w:kern w:val="0"/>
          <w:sz w:val="21"/>
          <w:szCs w:val="21"/>
          <w14:ligatures w14:val="none"/>
        </w:rPr>
        <w:t> designation (often styled as Class IIGB in internal compliance matrices to distinguish it from Long-Term Innovative, or ILT).</w:t>
      </w:r>
    </w:p>
    <w:p w14:paraId="56CCA0F3" w14:textId="5338A7F5"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This class was introduced under the </w:t>
      </w:r>
      <w:r w:rsidRPr="00F305C4">
        <w:rPr>
          <w:rFonts w:eastAsia="Times New Roman" w:cs="Arial"/>
          <w:b/>
          <w:bCs/>
          <w:color w:val="2B2D31"/>
          <w:kern w:val="0"/>
          <w:sz w:val="21"/>
          <w:szCs w:val="21"/>
          <w14:ligatures w14:val="none"/>
        </w:rPr>
        <w:t>Insurance Amendment Act 2018</w:t>
      </w:r>
      <w:r w:rsidRPr="00F305C4">
        <w:rPr>
          <w:rFonts w:eastAsia="Times New Roman" w:cs="Arial"/>
          <w:color w:val="2B2D31"/>
          <w:kern w:val="0"/>
          <w:sz w:val="21"/>
          <w:szCs w:val="21"/>
          <w14:ligatures w14:val="none"/>
        </w:rPr>
        <w:t> specifically for insurers experimenting with new technologies (InsurTech), business models, or products</w:t>
      </w:r>
      <w:r>
        <w:rPr>
          <w:rFonts w:eastAsia="Times New Roman" w:cs="Arial"/>
          <w:color w:val="2B2D31"/>
          <w:kern w:val="0"/>
          <w:sz w:val="21"/>
          <w:szCs w:val="21"/>
          <w14:ligatures w14:val="none"/>
        </w:rPr>
        <w:t xml:space="preserve"> – </w:t>
      </w:r>
      <w:r w:rsidRPr="00F305C4">
        <w:rPr>
          <w:rFonts w:eastAsia="Times New Roman" w:cs="Arial"/>
          <w:color w:val="2B2D31"/>
          <w:kern w:val="0"/>
          <w:sz w:val="21"/>
          <w:szCs w:val="21"/>
          <w14:ligatures w14:val="none"/>
        </w:rPr>
        <w:t>most notably those utilizing </w:t>
      </w:r>
      <w:r w:rsidRPr="00F305C4">
        <w:rPr>
          <w:rFonts w:eastAsia="Times New Roman" w:cs="Arial"/>
          <w:b/>
          <w:bCs/>
          <w:color w:val="2B2D31"/>
          <w:kern w:val="0"/>
          <w:sz w:val="21"/>
          <w:szCs w:val="21"/>
          <w14:ligatures w14:val="none"/>
        </w:rPr>
        <w:t>Blockchain, Digital Assets, or Smart Contracts.</w:t>
      </w:r>
    </w:p>
    <w:p w14:paraId="03476C70"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Because a Class IGB Captive operates in a high-risk, high-tech environment (often within the BMA Regulatory Sandbox or Innovation Hub), its software requirements differ vastly from a traditional insurer.</w:t>
      </w:r>
    </w:p>
    <w:p w14:paraId="6617B637"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Here are the specific software features needed for a Class IGB Captive, supported by regulatory sources.</w:t>
      </w:r>
    </w:p>
    <w:p w14:paraId="36B6384C"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1. Digital Asset Custody &amp; Wallet Integration</w:t>
      </w:r>
    </w:p>
    <w:p w14:paraId="079A7DB3"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Unlike traditional captives that hold fiat currency (USD/EUR) in bank accounts, a Class IGB captive often holds premiums and reserves in digital assets (Bitcoin, Stablecoins, etc.).</w:t>
      </w:r>
    </w:p>
    <w:p w14:paraId="4CD4F772" w14:textId="77777777" w:rsidR="00F305C4" w:rsidRPr="00F305C4" w:rsidRDefault="00F305C4" w:rsidP="00F305C4">
      <w:pPr>
        <w:numPr>
          <w:ilvl w:val="0"/>
          <w:numId w:val="10"/>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Multi-Signature Wallet Management:</w:t>
      </w:r>
      <w:r w:rsidRPr="00F305C4">
        <w:rPr>
          <w:rFonts w:eastAsia="Times New Roman" w:cs="Arial"/>
          <w:color w:val="2B2D31"/>
          <w:kern w:val="0"/>
          <w:sz w:val="21"/>
          <w:szCs w:val="21"/>
          <w14:ligatures w14:val="none"/>
        </w:rPr>
        <w:t> The software must integrate with institutional-grade custody solutions (like Fireblocks or Gemini) requiring multiple approvals (multi-sig) to move funds.</w:t>
      </w:r>
    </w:p>
    <w:p w14:paraId="2125ABD4" w14:textId="77777777" w:rsidR="00F305C4" w:rsidRPr="00F305C4" w:rsidRDefault="00F305C4" w:rsidP="00F305C4">
      <w:pPr>
        <w:numPr>
          <w:ilvl w:val="0"/>
          <w:numId w:val="10"/>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Proof of Reserves (PoR):</w:t>
      </w:r>
      <w:r w:rsidRPr="00F305C4">
        <w:rPr>
          <w:rFonts w:eastAsia="Times New Roman" w:cs="Arial"/>
          <w:color w:val="2B2D31"/>
          <w:kern w:val="0"/>
          <w:sz w:val="21"/>
          <w:szCs w:val="21"/>
          <w14:ligatures w14:val="none"/>
        </w:rPr>
        <w:t> Real-time cryptographic verification that the captive actually holds the digital assets it claims to have on its balance sheet.</w:t>
      </w:r>
    </w:p>
    <w:p w14:paraId="3D3DAE92" w14:textId="77777777" w:rsidR="00F305C4" w:rsidRPr="00F305C4" w:rsidRDefault="00F305C4" w:rsidP="00F305C4">
      <w:pPr>
        <w:numPr>
          <w:ilvl w:val="0"/>
          <w:numId w:val="10"/>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Fiat-to-Crypto Bridge:</w:t>
      </w:r>
      <w:r w:rsidRPr="00F305C4">
        <w:rPr>
          <w:rFonts w:eastAsia="Times New Roman" w:cs="Arial"/>
          <w:color w:val="2B2D31"/>
          <w:kern w:val="0"/>
          <w:sz w:val="21"/>
          <w:szCs w:val="21"/>
          <w14:ligatures w14:val="none"/>
        </w:rPr>
        <w:t> Accounting modules that automatically calculate realized/unrealized gains based on real-time exchange rates at the moment of transaction (FIFO/LIFO tax lot tracking).</w:t>
      </w:r>
    </w:p>
    <w:p w14:paraId="025EE69E"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2. Smart Contract &amp; Parametric Trigger Execution</w:t>
      </w:r>
    </w:p>
    <w:p w14:paraId="0DC1EB22"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Class IGB insurers typically utilize "smart contracts" to automate the underwriting and claims process to reduce administrative costs.</w:t>
      </w:r>
    </w:p>
    <w:p w14:paraId="63661F83" w14:textId="77777777" w:rsidR="00F305C4" w:rsidRPr="00F305C4" w:rsidRDefault="00F305C4" w:rsidP="00F305C4">
      <w:pPr>
        <w:numPr>
          <w:ilvl w:val="0"/>
          <w:numId w:val="11"/>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Oracle Integration:</w:t>
      </w:r>
      <w:r w:rsidRPr="00F305C4">
        <w:rPr>
          <w:rFonts w:eastAsia="Times New Roman" w:cs="Arial"/>
          <w:color w:val="2B2D31"/>
          <w:kern w:val="0"/>
          <w:sz w:val="21"/>
          <w:szCs w:val="21"/>
          <w14:ligatures w14:val="none"/>
        </w:rPr>
        <w:t> The software must be able to ingest data from "Oracles" (trusted external data feeds, e.g., Chainlink). For example, if a flight is cancelled or a server goes down, the Oracle feeds this data to the software.</w:t>
      </w:r>
    </w:p>
    <w:p w14:paraId="5FD3E338" w14:textId="77777777" w:rsidR="00F305C4" w:rsidRPr="00F305C4" w:rsidRDefault="00F305C4" w:rsidP="00F305C4">
      <w:pPr>
        <w:numPr>
          <w:ilvl w:val="0"/>
          <w:numId w:val="11"/>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Automated Claims Payouts:</w:t>
      </w:r>
      <w:r w:rsidRPr="00F305C4">
        <w:rPr>
          <w:rFonts w:eastAsia="Times New Roman" w:cs="Arial"/>
          <w:color w:val="2B2D31"/>
          <w:kern w:val="0"/>
          <w:sz w:val="21"/>
          <w:szCs w:val="21"/>
          <w14:ligatures w14:val="none"/>
        </w:rPr>
        <w:t> If the Oracle data satisfies the policy conditions, the software triggers the smart contract to execute the payout automatically without human intervention.</w:t>
      </w:r>
    </w:p>
    <w:p w14:paraId="5EC0B422" w14:textId="77777777" w:rsidR="00F305C4" w:rsidRPr="00F305C4" w:rsidRDefault="00F305C4" w:rsidP="00F305C4">
      <w:pPr>
        <w:numPr>
          <w:ilvl w:val="0"/>
          <w:numId w:val="11"/>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Code Audit Logs:</w:t>
      </w:r>
      <w:r w:rsidRPr="00F305C4">
        <w:rPr>
          <w:rFonts w:eastAsia="Times New Roman" w:cs="Arial"/>
          <w:color w:val="2B2D31"/>
          <w:kern w:val="0"/>
          <w:sz w:val="21"/>
          <w:szCs w:val="21"/>
          <w14:ligatures w14:val="none"/>
        </w:rPr>
        <w:t> A feature that logs every execution of a smart contract for regulatory review to prove the code performed exactly as the policy wording dictated.</w:t>
      </w:r>
    </w:p>
    <w:p w14:paraId="21CB5F8F"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3. Enhanced AML/ATF &amp; KYC (Identity Verification)</w:t>
      </w:r>
    </w:p>
    <w:p w14:paraId="121DB74F"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Because Class IGB entities often deal with crypto-assets, they are subject to intense scrutiny regarding Anti-Money Laundering (AML) and Anti-Terrorist Financing (ATF).</w:t>
      </w:r>
    </w:p>
    <w:p w14:paraId="190E1AAF" w14:textId="77777777" w:rsidR="00F305C4" w:rsidRPr="00F305C4" w:rsidRDefault="00F305C4" w:rsidP="00F305C4">
      <w:pPr>
        <w:numPr>
          <w:ilvl w:val="0"/>
          <w:numId w:val="12"/>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Chain Analysis Integration:</w:t>
      </w:r>
      <w:r w:rsidRPr="00F305C4">
        <w:rPr>
          <w:rFonts w:eastAsia="Times New Roman" w:cs="Arial"/>
          <w:color w:val="2B2D31"/>
          <w:kern w:val="0"/>
          <w:sz w:val="21"/>
          <w:szCs w:val="21"/>
          <w14:ligatures w14:val="none"/>
        </w:rPr>
        <w:t> The software must integrate with tools (like Chainalysis or Elliptic) to screen the "wallet addresses" of whoever is paying the premium. It must detect if the funds are coming from "tainted" sources (e.g., dark web markets or sanctioned entities).</w:t>
      </w:r>
    </w:p>
    <w:p w14:paraId="4D225BE7" w14:textId="77777777" w:rsidR="00F305C4" w:rsidRPr="00F305C4" w:rsidRDefault="00F305C4" w:rsidP="00F305C4">
      <w:pPr>
        <w:numPr>
          <w:ilvl w:val="0"/>
          <w:numId w:val="12"/>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lastRenderedPageBreak/>
        <w:t>Digital Identity Verification:</w:t>
      </w:r>
      <w:r w:rsidRPr="00F305C4">
        <w:rPr>
          <w:rFonts w:eastAsia="Times New Roman" w:cs="Arial"/>
          <w:color w:val="2B2D31"/>
          <w:kern w:val="0"/>
          <w:sz w:val="21"/>
          <w:szCs w:val="21"/>
          <w14:ligatures w14:val="none"/>
        </w:rPr>
        <w:t> Automated KYC (Know Your Customer) onboarding that uses biometrics and document scanning to verify the identity of policyholders instantly.</w:t>
      </w:r>
    </w:p>
    <w:p w14:paraId="3A2C8CD4"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4. Cyber Risk Management &amp; Operational Resilience</w:t>
      </w:r>
    </w:p>
    <w:p w14:paraId="5A2367AC"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The BMA places a higher operational risk capital charge on Innovative insurers because of the risk of hacking.</w:t>
      </w:r>
    </w:p>
    <w:p w14:paraId="1B4D1657" w14:textId="77777777" w:rsidR="00F305C4" w:rsidRPr="00F305C4" w:rsidRDefault="00F305C4" w:rsidP="00F305C4">
      <w:pPr>
        <w:numPr>
          <w:ilvl w:val="0"/>
          <w:numId w:val="13"/>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Cyber Incident Reporting Module:</w:t>
      </w:r>
      <w:r w:rsidRPr="00F305C4">
        <w:rPr>
          <w:rFonts w:eastAsia="Times New Roman" w:cs="Arial"/>
          <w:color w:val="2B2D31"/>
          <w:kern w:val="0"/>
          <w:sz w:val="21"/>
          <w:szCs w:val="21"/>
          <w14:ligatures w14:val="none"/>
        </w:rPr>
        <w:t> A dedicated module to log cyber events. Under the </w:t>
      </w:r>
      <w:r w:rsidRPr="00F305C4">
        <w:rPr>
          <w:rFonts w:eastAsia="Times New Roman" w:cs="Arial"/>
          <w:i/>
          <w:iCs/>
          <w:color w:val="2B2D31"/>
          <w:kern w:val="0"/>
          <w:sz w:val="21"/>
          <w:szCs w:val="21"/>
          <w14:ligatures w14:val="none"/>
        </w:rPr>
        <w:t>Insurance (Operational Cyber Risk Management) Code of Conduct</w:t>
      </w:r>
      <w:r w:rsidRPr="00F305C4">
        <w:rPr>
          <w:rFonts w:eastAsia="Times New Roman" w:cs="Arial"/>
          <w:color w:val="2B2D31"/>
          <w:kern w:val="0"/>
          <w:sz w:val="21"/>
          <w:szCs w:val="21"/>
          <w14:ligatures w14:val="none"/>
        </w:rPr>
        <w:t>, incidents must be reported to the BMA within specific timeframes (often 24-72 hours).</w:t>
      </w:r>
    </w:p>
    <w:p w14:paraId="775ECDCF" w14:textId="77777777" w:rsidR="00F305C4" w:rsidRPr="00F305C4" w:rsidRDefault="00F305C4" w:rsidP="00F305C4">
      <w:pPr>
        <w:numPr>
          <w:ilvl w:val="0"/>
          <w:numId w:val="13"/>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Penetration Testing Logs:</w:t>
      </w:r>
      <w:r w:rsidRPr="00F305C4">
        <w:rPr>
          <w:rFonts w:eastAsia="Times New Roman" w:cs="Arial"/>
          <w:color w:val="2B2D31"/>
          <w:kern w:val="0"/>
          <w:sz w:val="21"/>
          <w:szCs w:val="21"/>
          <w14:ligatures w14:val="none"/>
        </w:rPr>
        <w:t> The software should maintain records of regular "Pen Tests" and vulnerability scans required to maintain the license.</w:t>
      </w:r>
    </w:p>
    <w:p w14:paraId="0B0A85F9"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5. Regulatory "Sandbox" Reporting (High Frequency)</w:t>
      </w:r>
    </w:p>
    <w:p w14:paraId="2DC25A08"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color w:val="2B2D31"/>
          <w:kern w:val="0"/>
          <w:sz w:val="21"/>
          <w:szCs w:val="21"/>
          <w14:ligatures w14:val="none"/>
        </w:rPr>
        <w:t>Class IGB insurers are often in the BMA "Sandbox." Unlike traditional captives that report annually, Sandbox entities often must report </w:t>
      </w:r>
      <w:r w:rsidRPr="00F305C4">
        <w:rPr>
          <w:rFonts w:eastAsia="Times New Roman" w:cs="Arial"/>
          <w:b/>
          <w:bCs/>
          <w:color w:val="2B2D31"/>
          <w:kern w:val="0"/>
          <w:sz w:val="21"/>
          <w:szCs w:val="21"/>
          <w14:ligatures w14:val="none"/>
        </w:rPr>
        <w:t>monthly</w:t>
      </w:r>
      <w:r w:rsidRPr="00F305C4">
        <w:rPr>
          <w:rFonts w:eastAsia="Times New Roman" w:cs="Arial"/>
          <w:color w:val="2B2D31"/>
          <w:kern w:val="0"/>
          <w:sz w:val="21"/>
          <w:szCs w:val="21"/>
          <w14:ligatures w14:val="none"/>
        </w:rPr>
        <w:t> or even </w:t>
      </w:r>
      <w:r w:rsidRPr="00F305C4">
        <w:rPr>
          <w:rFonts w:eastAsia="Times New Roman" w:cs="Arial"/>
          <w:b/>
          <w:bCs/>
          <w:color w:val="2B2D31"/>
          <w:kern w:val="0"/>
          <w:sz w:val="21"/>
          <w:szCs w:val="21"/>
          <w14:ligatures w14:val="none"/>
        </w:rPr>
        <w:t>weekly</w:t>
      </w:r>
      <w:r w:rsidRPr="00F305C4">
        <w:rPr>
          <w:rFonts w:eastAsia="Times New Roman" w:cs="Arial"/>
          <w:color w:val="2B2D31"/>
          <w:kern w:val="0"/>
          <w:sz w:val="21"/>
          <w:szCs w:val="21"/>
          <w14:ligatures w14:val="none"/>
        </w:rPr>
        <w:t> on specific KPIs.</w:t>
      </w:r>
    </w:p>
    <w:p w14:paraId="14049DB4" w14:textId="77777777" w:rsidR="00F305C4" w:rsidRPr="00F305C4" w:rsidRDefault="00F305C4" w:rsidP="00F305C4">
      <w:pPr>
        <w:numPr>
          <w:ilvl w:val="0"/>
          <w:numId w:val="14"/>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Real-Time Dashboarding:</w:t>
      </w:r>
      <w:r w:rsidRPr="00F305C4">
        <w:rPr>
          <w:rFonts w:eastAsia="Times New Roman" w:cs="Arial"/>
          <w:color w:val="2B2D31"/>
          <w:kern w:val="0"/>
          <w:sz w:val="21"/>
          <w:szCs w:val="21"/>
          <w14:ligatures w14:val="none"/>
        </w:rPr>
        <w:t> The software cannot rely on end-of-year batch processing. It needs a real-time dashboard accessible by the regulator (if required) showing current exposure, liquidity, and token holdings.</w:t>
      </w:r>
    </w:p>
    <w:p w14:paraId="1022D018" w14:textId="77777777" w:rsidR="00F305C4" w:rsidRPr="00F305C4" w:rsidRDefault="00F305C4" w:rsidP="00F305C4">
      <w:pPr>
        <w:numPr>
          <w:ilvl w:val="0"/>
          <w:numId w:val="14"/>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Capital Floor Monitoring:</w:t>
      </w:r>
      <w:r w:rsidRPr="00F305C4">
        <w:rPr>
          <w:rFonts w:eastAsia="Times New Roman" w:cs="Arial"/>
          <w:color w:val="2B2D31"/>
          <w:kern w:val="0"/>
          <w:sz w:val="21"/>
          <w:szCs w:val="21"/>
          <w14:ligatures w14:val="none"/>
        </w:rPr>
        <w:t> Automatic alerts if the Net Asset Value (NAV) of the crypto-assets drops near the regulatory capital floor ($120,000 minimum or higher depending on risk profile) due to market volatility.</w:t>
      </w:r>
    </w:p>
    <w:p w14:paraId="6C4103E9" w14:textId="77777777" w:rsidR="00F305C4" w:rsidRPr="00F305C4" w:rsidRDefault="00F305C4" w:rsidP="00F305C4">
      <w:pPr>
        <w:shd w:val="clear" w:color="auto" w:fill="FFFFFF"/>
        <w:spacing w:after="120" w:line="240" w:lineRule="auto"/>
        <w:outlineLvl w:val="2"/>
        <w:rPr>
          <w:rFonts w:eastAsia="Times New Roman" w:cs="Arial"/>
          <w:b/>
          <w:bCs/>
          <w:color w:val="2B2D31"/>
          <w:kern w:val="0"/>
          <w:sz w:val="27"/>
          <w:szCs w:val="27"/>
          <w14:ligatures w14:val="none"/>
        </w:rPr>
      </w:pPr>
      <w:r w:rsidRPr="00F305C4">
        <w:rPr>
          <w:rFonts w:eastAsia="Times New Roman" w:cs="Arial"/>
          <w:b/>
          <w:bCs/>
          <w:color w:val="2B2D31"/>
          <w:kern w:val="0"/>
          <w:sz w:val="27"/>
          <w:szCs w:val="27"/>
          <w14:ligatures w14:val="none"/>
        </w:rPr>
        <w:t>Sources</w:t>
      </w:r>
    </w:p>
    <w:p w14:paraId="153FDFE8"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1. The Legislative Definitions</w:t>
      </w:r>
    </w:p>
    <w:p w14:paraId="4E7D8E3D" w14:textId="77777777" w:rsidR="00F305C4" w:rsidRPr="00F305C4" w:rsidRDefault="00F305C4" w:rsidP="00F305C4">
      <w:pPr>
        <w:numPr>
          <w:ilvl w:val="0"/>
          <w:numId w:val="15"/>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Source:</w:t>
      </w:r>
      <w:r w:rsidRPr="00F305C4">
        <w:rPr>
          <w:rFonts w:eastAsia="Times New Roman" w:cs="Arial"/>
          <w:color w:val="2B2D31"/>
          <w:kern w:val="0"/>
          <w:sz w:val="21"/>
          <w:szCs w:val="21"/>
          <w14:ligatures w14:val="none"/>
        </w:rPr>
        <w:t> </w:t>
      </w:r>
      <w:r w:rsidRPr="00F305C4">
        <w:rPr>
          <w:rFonts w:eastAsia="Times New Roman" w:cs="Arial"/>
          <w:i/>
          <w:iCs/>
          <w:color w:val="2B2D31"/>
          <w:kern w:val="0"/>
          <w:sz w:val="21"/>
          <w:szCs w:val="21"/>
          <w14:ligatures w14:val="none"/>
        </w:rPr>
        <w:t>The Insurance Amendment Act 2018 (Bermuda).</w:t>
      </w:r>
    </w:p>
    <w:p w14:paraId="41C69486" w14:textId="77777777" w:rsidR="00F305C4" w:rsidRPr="00F305C4" w:rsidRDefault="00F305C4" w:rsidP="00F305C4">
      <w:pPr>
        <w:numPr>
          <w:ilvl w:val="1"/>
          <w:numId w:val="15"/>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i/>
          <w:iCs/>
          <w:color w:val="2B2D31"/>
          <w:kern w:val="0"/>
          <w:sz w:val="21"/>
          <w:szCs w:val="21"/>
          <w14:ligatures w14:val="none"/>
        </w:rPr>
        <w:t>Relevance:</w:t>
      </w:r>
      <w:r w:rsidRPr="00F305C4">
        <w:rPr>
          <w:rFonts w:eastAsia="Times New Roman" w:cs="Arial"/>
          <w:color w:val="2B2D31"/>
          <w:kern w:val="0"/>
          <w:sz w:val="21"/>
          <w:szCs w:val="21"/>
          <w14:ligatures w14:val="none"/>
        </w:rPr>
        <w:t> This Act formally established the "Class IGB" and "Class ILT" categories. It defines the requirement for these entities to maintain a head office and directs that they are subject to specific rules regarding "business of an innovative nature."</w:t>
      </w:r>
    </w:p>
    <w:p w14:paraId="7A3CB4C3"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2. Cyber &amp; Operational Risk</w:t>
      </w:r>
    </w:p>
    <w:p w14:paraId="05EFA61D" w14:textId="77777777" w:rsidR="00F305C4" w:rsidRPr="00F305C4" w:rsidRDefault="00F305C4" w:rsidP="00F305C4">
      <w:pPr>
        <w:numPr>
          <w:ilvl w:val="0"/>
          <w:numId w:val="16"/>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Source:</w:t>
      </w:r>
      <w:r w:rsidRPr="00F305C4">
        <w:rPr>
          <w:rFonts w:eastAsia="Times New Roman" w:cs="Arial"/>
          <w:color w:val="2B2D31"/>
          <w:kern w:val="0"/>
          <w:sz w:val="21"/>
          <w:szCs w:val="21"/>
          <w14:ligatures w14:val="none"/>
        </w:rPr>
        <w:t> </w:t>
      </w:r>
      <w:r w:rsidRPr="00F305C4">
        <w:rPr>
          <w:rFonts w:eastAsia="Times New Roman" w:cs="Arial"/>
          <w:i/>
          <w:iCs/>
          <w:color w:val="2B2D31"/>
          <w:kern w:val="0"/>
          <w:sz w:val="21"/>
          <w:szCs w:val="21"/>
          <w14:ligatures w14:val="none"/>
        </w:rPr>
        <w:t>BMA Insurance (Operational Cyber Risk Management) Code of Conduct 2020.</w:t>
      </w:r>
    </w:p>
    <w:p w14:paraId="55C45105" w14:textId="77777777" w:rsidR="00F305C4" w:rsidRPr="00F305C4" w:rsidRDefault="00F305C4" w:rsidP="00F305C4">
      <w:pPr>
        <w:numPr>
          <w:ilvl w:val="1"/>
          <w:numId w:val="16"/>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i/>
          <w:iCs/>
          <w:color w:val="2B2D31"/>
          <w:kern w:val="0"/>
          <w:sz w:val="21"/>
          <w:szCs w:val="21"/>
          <w14:ligatures w14:val="none"/>
        </w:rPr>
        <w:t>Relevance:</w:t>
      </w:r>
      <w:r w:rsidRPr="00F305C4">
        <w:rPr>
          <w:rFonts w:eastAsia="Times New Roman" w:cs="Arial"/>
          <w:color w:val="2B2D31"/>
          <w:kern w:val="0"/>
          <w:sz w:val="21"/>
          <w:szCs w:val="21"/>
          <w14:ligatures w14:val="none"/>
        </w:rPr>
        <w:t> Applies strictly to all insurers but is heavily enforced on IGB classes. It mandates the implementation of systems that ensure "data integrity, confidentiality, and availability," necessitating the specific cyber-reporting software features mentioned above.</w:t>
      </w:r>
    </w:p>
    <w:p w14:paraId="67650647"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3. Digital Asset Compliance</w:t>
      </w:r>
    </w:p>
    <w:p w14:paraId="29AECD5A" w14:textId="77777777" w:rsidR="00F305C4" w:rsidRPr="00F305C4" w:rsidRDefault="00F305C4" w:rsidP="00F305C4">
      <w:pPr>
        <w:numPr>
          <w:ilvl w:val="0"/>
          <w:numId w:val="17"/>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Source:</w:t>
      </w:r>
      <w:r w:rsidRPr="00F305C4">
        <w:rPr>
          <w:rFonts w:eastAsia="Times New Roman" w:cs="Arial"/>
          <w:color w:val="2B2D31"/>
          <w:kern w:val="0"/>
          <w:sz w:val="21"/>
          <w:szCs w:val="21"/>
          <w14:ligatures w14:val="none"/>
        </w:rPr>
        <w:t> </w:t>
      </w:r>
      <w:r w:rsidRPr="00F305C4">
        <w:rPr>
          <w:rFonts w:eastAsia="Times New Roman" w:cs="Arial"/>
          <w:i/>
          <w:iCs/>
          <w:color w:val="2B2D31"/>
          <w:kern w:val="0"/>
          <w:sz w:val="21"/>
          <w:szCs w:val="21"/>
          <w14:ligatures w14:val="none"/>
        </w:rPr>
        <w:t>BMA Sector-Specific Guidance Notes for Innovative Insurers (2019).</w:t>
      </w:r>
    </w:p>
    <w:p w14:paraId="3208BD54" w14:textId="77777777" w:rsidR="00F305C4" w:rsidRPr="00F305C4" w:rsidRDefault="00F305C4" w:rsidP="00F305C4">
      <w:pPr>
        <w:numPr>
          <w:ilvl w:val="1"/>
          <w:numId w:val="17"/>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i/>
          <w:iCs/>
          <w:color w:val="2B2D31"/>
          <w:kern w:val="0"/>
          <w:sz w:val="21"/>
          <w:szCs w:val="21"/>
          <w14:ligatures w14:val="none"/>
        </w:rPr>
        <w:t>Relevance:</w:t>
      </w:r>
      <w:r w:rsidRPr="00F305C4">
        <w:rPr>
          <w:rFonts w:eastAsia="Times New Roman" w:cs="Arial"/>
          <w:color w:val="2B2D31"/>
          <w:kern w:val="0"/>
          <w:sz w:val="21"/>
          <w:szCs w:val="21"/>
          <w14:ligatures w14:val="none"/>
        </w:rPr>
        <w:t> This guidance explicitly discusses the need for "Wallet Management," "Private Key Management," and compliance with AML/ATF regulations specific to virtual assets. It validates the need for Chain Analysis software integration.</w:t>
      </w:r>
    </w:p>
    <w:p w14:paraId="14540BDF" w14:textId="77777777" w:rsidR="00F305C4" w:rsidRPr="00F305C4" w:rsidRDefault="00F305C4" w:rsidP="00F305C4">
      <w:p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4. AML/ATF Requirements</w:t>
      </w:r>
    </w:p>
    <w:p w14:paraId="77582102" w14:textId="77777777" w:rsidR="00F305C4" w:rsidRPr="00F305C4" w:rsidRDefault="00F305C4" w:rsidP="00F305C4">
      <w:pPr>
        <w:numPr>
          <w:ilvl w:val="0"/>
          <w:numId w:val="18"/>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b/>
          <w:bCs/>
          <w:color w:val="2B2D31"/>
          <w:kern w:val="0"/>
          <w:sz w:val="21"/>
          <w:szCs w:val="21"/>
          <w14:ligatures w14:val="none"/>
        </w:rPr>
        <w:t>Source:</w:t>
      </w:r>
      <w:r w:rsidRPr="00F305C4">
        <w:rPr>
          <w:rFonts w:eastAsia="Times New Roman" w:cs="Arial"/>
          <w:color w:val="2B2D31"/>
          <w:kern w:val="0"/>
          <w:sz w:val="21"/>
          <w:szCs w:val="21"/>
          <w14:ligatures w14:val="none"/>
        </w:rPr>
        <w:t> </w:t>
      </w:r>
      <w:r w:rsidRPr="00F305C4">
        <w:rPr>
          <w:rFonts w:eastAsia="Times New Roman" w:cs="Arial"/>
          <w:i/>
          <w:iCs/>
          <w:color w:val="2B2D31"/>
          <w:kern w:val="0"/>
          <w:sz w:val="21"/>
          <w:szCs w:val="21"/>
          <w14:ligatures w14:val="none"/>
        </w:rPr>
        <w:t>The Proceeds of Crime (Anti-Money Laundering and Anti-Terrorist Financing) Amendment Regulations 2019.</w:t>
      </w:r>
    </w:p>
    <w:p w14:paraId="0AF73002" w14:textId="77777777" w:rsidR="00F305C4" w:rsidRPr="00F305C4" w:rsidRDefault="00F305C4" w:rsidP="00F305C4">
      <w:pPr>
        <w:numPr>
          <w:ilvl w:val="1"/>
          <w:numId w:val="18"/>
        </w:numPr>
        <w:shd w:val="clear" w:color="auto" w:fill="FFFFFF"/>
        <w:spacing w:after="120" w:line="240" w:lineRule="auto"/>
        <w:rPr>
          <w:rFonts w:eastAsia="Times New Roman" w:cs="Arial"/>
          <w:color w:val="2B2D31"/>
          <w:kern w:val="0"/>
          <w:sz w:val="21"/>
          <w:szCs w:val="21"/>
          <w14:ligatures w14:val="none"/>
        </w:rPr>
      </w:pPr>
      <w:r w:rsidRPr="00F305C4">
        <w:rPr>
          <w:rFonts w:eastAsia="Times New Roman" w:cs="Arial"/>
          <w:i/>
          <w:iCs/>
          <w:color w:val="2B2D31"/>
          <w:kern w:val="0"/>
          <w:sz w:val="21"/>
          <w:szCs w:val="21"/>
          <w14:ligatures w14:val="none"/>
        </w:rPr>
        <w:lastRenderedPageBreak/>
        <w:t>Relevance:</w:t>
      </w:r>
      <w:r w:rsidRPr="00F305C4">
        <w:rPr>
          <w:rFonts w:eastAsia="Times New Roman" w:cs="Arial"/>
          <w:color w:val="2B2D31"/>
          <w:kern w:val="0"/>
          <w:sz w:val="21"/>
          <w:szCs w:val="21"/>
          <w14:ligatures w14:val="none"/>
        </w:rPr>
        <w:t> These regulations were updated to specifically include "virtual asset service providers" and innovative insurers. This is the legal basis for the requirement of automated wallet screening and enhanced KYC software.</w:t>
      </w:r>
    </w:p>
    <w:p w14:paraId="657AC16E" w14:textId="77777777" w:rsidR="00F305C4" w:rsidRPr="00F305C4" w:rsidRDefault="00F305C4" w:rsidP="00F305C4">
      <w:pPr>
        <w:spacing w:after="120" w:line="240" w:lineRule="auto"/>
        <w:rPr>
          <w:sz w:val="21"/>
          <w:szCs w:val="21"/>
        </w:rPr>
      </w:pPr>
    </w:p>
    <w:sectPr w:rsidR="00F305C4" w:rsidRPr="00F30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998"/>
    <w:multiLevelType w:val="multilevel"/>
    <w:tmpl w:val="437E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65244"/>
    <w:multiLevelType w:val="multilevel"/>
    <w:tmpl w:val="7E76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5325D"/>
    <w:multiLevelType w:val="multilevel"/>
    <w:tmpl w:val="9700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B3039"/>
    <w:multiLevelType w:val="multilevel"/>
    <w:tmpl w:val="7276A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D71D6"/>
    <w:multiLevelType w:val="multilevel"/>
    <w:tmpl w:val="E1FAF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F0B49"/>
    <w:multiLevelType w:val="multilevel"/>
    <w:tmpl w:val="1F7C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E67CA"/>
    <w:multiLevelType w:val="multilevel"/>
    <w:tmpl w:val="DAA2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E3002"/>
    <w:multiLevelType w:val="multilevel"/>
    <w:tmpl w:val="831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A41BB"/>
    <w:multiLevelType w:val="multilevel"/>
    <w:tmpl w:val="E4AA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62982"/>
    <w:multiLevelType w:val="multilevel"/>
    <w:tmpl w:val="53B80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A7C28"/>
    <w:multiLevelType w:val="multilevel"/>
    <w:tmpl w:val="B560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716E5"/>
    <w:multiLevelType w:val="multilevel"/>
    <w:tmpl w:val="FB42A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25E8F"/>
    <w:multiLevelType w:val="multilevel"/>
    <w:tmpl w:val="AB160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612CE"/>
    <w:multiLevelType w:val="multilevel"/>
    <w:tmpl w:val="35D21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13435D"/>
    <w:multiLevelType w:val="multilevel"/>
    <w:tmpl w:val="F904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F4A29"/>
    <w:multiLevelType w:val="multilevel"/>
    <w:tmpl w:val="83DE7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EB50AC"/>
    <w:multiLevelType w:val="multilevel"/>
    <w:tmpl w:val="412C8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7A0379"/>
    <w:multiLevelType w:val="multilevel"/>
    <w:tmpl w:val="C17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908867">
    <w:abstractNumId w:val="7"/>
  </w:num>
  <w:num w:numId="2" w16cid:durableId="2026402093">
    <w:abstractNumId w:val="17"/>
  </w:num>
  <w:num w:numId="3" w16cid:durableId="2092192713">
    <w:abstractNumId w:val="5"/>
  </w:num>
  <w:num w:numId="4" w16cid:durableId="1736930742">
    <w:abstractNumId w:val="2"/>
  </w:num>
  <w:num w:numId="5" w16cid:durableId="285966315">
    <w:abstractNumId w:val="0"/>
  </w:num>
  <w:num w:numId="6" w16cid:durableId="655258031">
    <w:abstractNumId w:val="11"/>
  </w:num>
  <w:num w:numId="7" w16cid:durableId="476802870">
    <w:abstractNumId w:val="9"/>
  </w:num>
  <w:num w:numId="8" w16cid:durableId="1518621324">
    <w:abstractNumId w:val="12"/>
  </w:num>
  <w:num w:numId="9" w16cid:durableId="787284852">
    <w:abstractNumId w:val="3"/>
  </w:num>
  <w:num w:numId="10" w16cid:durableId="1675453477">
    <w:abstractNumId w:val="14"/>
  </w:num>
  <w:num w:numId="11" w16cid:durableId="1755785542">
    <w:abstractNumId w:val="10"/>
  </w:num>
  <w:num w:numId="12" w16cid:durableId="690647401">
    <w:abstractNumId w:val="6"/>
  </w:num>
  <w:num w:numId="13" w16cid:durableId="1567256543">
    <w:abstractNumId w:val="8"/>
  </w:num>
  <w:num w:numId="14" w16cid:durableId="1418288913">
    <w:abstractNumId w:val="1"/>
  </w:num>
  <w:num w:numId="15" w16cid:durableId="1201551942">
    <w:abstractNumId w:val="15"/>
  </w:num>
  <w:num w:numId="16" w16cid:durableId="855538997">
    <w:abstractNumId w:val="16"/>
  </w:num>
  <w:num w:numId="17" w16cid:durableId="706487823">
    <w:abstractNumId w:val="4"/>
  </w:num>
  <w:num w:numId="18" w16cid:durableId="17912382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O0MDc3N7IwNTYzNTJQ0lEKTi0uzszPAykwrgUAAJ8ZyywAAAA="/>
  </w:docVars>
  <w:rsids>
    <w:rsidRoot w:val="00B1535E"/>
    <w:rsid w:val="003062D5"/>
    <w:rsid w:val="005020E7"/>
    <w:rsid w:val="0067221A"/>
    <w:rsid w:val="007E3A85"/>
    <w:rsid w:val="0098613E"/>
    <w:rsid w:val="00A03483"/>
    <w:rsid w:val="00A1653E"/>
    <w:rsid w:val="00B1535E"/>
    <w:rsid w:val="00E223B8"/>
    <w:rsid w:val="00F305C4"/>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3B8B"/>
  <w15:chartTrackingRefBased/>
  <w15:docId w15:val="{933F8C2E-F08E-4909-8E60-1A03DC55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5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5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35E"/>
    <w:rPr>
      <w:rFonts w:eastAsiaTheme="majorEastAsia" w:cstheme="majorBidi"/>
      <w:color w:val="272727" w:themeColor="text1" w:themeTint="D8"/>
    </w:rPr>
  </w:style>
  <w:style w:type="paragraph" w:styleId="Title">
    <w:name w:val="Title"/>
    <w:basedOn w:val="Normal"/>
    <w:next w:val="Normal"/>
    <w:link w:val="TitleChar"/>
    <w:uiPriority w:val="10"/>
    <w:qFormat/>
    <w:rsid w:val="00B15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35E"/>
    <w:pPr>
      <w:spacing w:before="160"/>
      <w:jc w:val="center"/>
    </w:pPr>
    <w:rPr>
      <w:i/>
      <w:iCs/>
      <w:color w:val="404040" w:themeColor="text1" w:themeTint="BF"/>
    </w:rPr>
  </w:style>
  <w:style w:type="character" w:customStyle="1" w:styleId="QuoteChar">
    <w:name w:val="Quote Char"/>
    <w:basedOn w:val="DefaultParagraphFont"/>
    <w:link w:val="Quote"/>
    <w:uiPriority w:val="29"/>
    <w:rsid w:val="00B1535E"/>
    <w:rPr>
      <w:i/>
      <w:iCs/>
      <w:color w:val="404040" w:themeColor="text1" w:themeTint="BF"/>
    </w:rPr>
  </w:style>
  <w:style w:type="paragraph" w:styleId="ListParagraph">
    <w:name w:val="List Paragraph"/>
    <w:basedOn w:val="Normal"/>
    <w:uiPriority w:val="34"/>
    <w:qFormat/>
    <w:rsid w:val="00B1535E"/>
    <w:pPr>
      <w:ind w:left="720"/>
      <w:contextualSpacing/>
    </w:pPr>
  </w:style>
  <w:style w:type="character" w:styleId="IntenseEmphasis">
    <w:name w:val="Intense Emphasis"/>
    <w:basedOn w:val="DefaultParagraphFont"/>
    <w:uiPriority w:val="21"/>
    <w:qFormat/>
    <w:rsid w:val="00B1535E"/>
    <w:rPr>
      <w:i/>
      <w:iCs/>
      <w:color w:val="0F4761" w:themeColor="accent1" w:themeShade="BF"/>
    </w:rPr>
  </w:style>
  <w:style w:type="paragraph" w:styleId="IntenseQuote">
    <w:name w:val="Intense Quote"/>
    <w:basedOn w:val="Normal"/>
    <w:next w:val="Normal"/>
    <w:link w:val="IntenseQuoteChar"/>
    <w:uiPriority w:val="30"/>
    <w:qFormat/>
    <w:rsid w:val="00B15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35E"/>
    <w:rPr>
      <w:i/>
      <w:iCs/>
      <w:color w:val="0F4761" w:themeColor="accent1" w:themeShade="BF"/>
    </w:rPr>
  </w:style>
  <w:style w:type="character" w:styleId="IntenseReference">
    <w:name w:val="Intense Reference"/>
    <w:basedOn w:val="DefaultParagraphFont"/>
    <w:uiPriority w:val="32"/>
    <w:qFormat/>
    <w:rsid w:val="00B1535E"/>
    <w:rPr>
      <w:b/>
      <w:bCs/>
      <w:smallCaps/>
      <w:color w:val="0F4761" w:themeColor="accent1" w:themeShade="BF"/>
      <w:spacing w:val="5"/>
    </w:rPr>
  </w:style>
  <w:style w:type="paragraph" w:customStyle="1" w:styleId="ng-star-inserted">
    <w:name w:val="ng-star-inserted"/>
    <w:basedOn w:val="Normal"/>
    <w:rsid w:val="00F305C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F30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843</Words>
  <Characters>4806</Characters>
  <Application>Microsoft Office Word</Application>
  <DocSecurity>0</DocSecurity>
  <Lines>40</Lines>
  <Paragraphs>11</Paragraphs>
  <ScaleCrop>false</ScaleCrop>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4</cp:revision>
  <dcterms:created xsi:type="dcterms:W3CDTF">2026-02-21T22:57:00Z</dcterms:created>
  <dcterms:modified xsi:type="dcterms:W3CDTF">2026-02-27T11:42:00Z</dcterms:modified>
</cp:coreProperties>
</file>