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007BD9" w14:textId="56EBCF0E" w:rsidR="002979E3" w:rsidRPr="00740B2E" w:rsidRDefault="002979E3" w:rsidP="002979E3">
      <w:pPr>
        <w:spacing w:after="270" w:line="420" w:lineRule="atLeast"/>
        <w:outlineLvl w:val="0"/>
        <w:rPr>
          <w:rFonts w:eastAsia="Times New Roman" w:cs="Times New Roman"/>
          <w:b/>
          <w:bCs/>
          <w:kern w:val="36"/>
          <w:sz w:val="48"/>
          <w:szCs w:val="48"/>
          <w14:ligatures w14:val="none"/>
        </w:rPr>
      </w:pPr>
      <w:r w:rsidRPr="00740B2E">
        <w:rPr>
          <w:rFonts w:eastAsia="Times New Roman" w:cs="Times New Roman"/>
          <w:b/>
          <w:bCs/>
          <w:kern w:val="36"/>
          <w:sz w:val="40"/>
          <w:szCs w:val="40"/>
          <w14:ligatures w14:val="none"/>
        </w:rPr>
        <w:t xml:space="preserve">Report: </w:t>
      </w:r>
      <w:r w:rsidRPr="002979E3">
        <w:rPr>
          <w:rFonts w:eastAsia="Times New Roman" w:cs="Times New Roman"/>
          <w:b/>
          <w:bCs/>
          <w:kern w:val="36"/>
          <w:sz w:val="40"/>
          <w:szCs w:val="40"/>
          <w14:ligatures w14:val="none"/>
        </w:rPr>
        <w:t>T</w:t>
      </w:r>
      <w:r w:rsidRPr="00740B2E">
        <w:rPr>
          <w:rFonts w:eastAsia="Times New Roman" w:cs="Times New Roman"/>
          <w:b/>
          <w:bCs/>
          <w:kern w:val="36"/>
          <w:sz w:val="40"/>
          <w:szCs w:val="40"/>
          <w14:ligatures w14:val="none"/>
        </w:rPr>
        <w:t xml:space="preserve">he $2.5 Trillion </w:t>
      </w:r>
      <w:r w:rsidRPr="002979E3">
        <w:rPr>
          <w:rFonts w:eastAsia="Times New Roman" w:cs="Times New Roman"/>
          <w:b/>
          <w:bCs/>
          <w:kern w:val="36"/>
          <w:sz w:val="40"/>
          <w:szCs w:val="40"/>
          <w14:ligatures w14:val="none"/>
        </w:rPr>
        <w:t xml:space="preserve">LMIC </w:t>
      </w:r>
      <w:r w:rsidRPr="00740B2E">
        <w:rPr>
          <w:rFonts w:eastAsia="Times New Roman" w:cs="Times New Roman"/>
          <w:b/>
          <w:bCs/>
          <w:kern w:val="36"/>
          <w:sz w:val="40"/>
          <w:szCs w:val="40"/>
          <w14:ligatures w14:val="none"/>
        </w:rPr>
        <w:t>Finance Gap</w:t>
      </w:r>
      <w:r w:rsidR="00E12D64">
        <w:rPr>
          <w:rFonts w:eastAsia="Times New Roman" w:cs="Times New Roman"/>
          <w:b/>
          <w:bCs/>
          <w:kern w:val="36"/>
          <w:sz w:val="22"/>
          <w:szCs w:val="22"/>
          <w14:ligatures w14:val="none"/>
        </w:rPr>
        <w:t xml:space="preserve"> </w:t>
      </w:r>
    </w:p>
    <w:p w14:paraId="479C1743" w14:textId="77777777" w:rsidR="002979E3" w:rsidRPr="00740B2E" w:rsidRDefault="002979E3" w:rsidP="002979E3">
      <w:pPr>
        <w:spacing w:after="240" w:line="240" w:lineRule="auto"/>
        <w:outlineLvl w:val="1"/>
        <w:rPr>
          <w:rFonts w:eastAsia="Times New Roman" w:cs="Times New Roman"/>
          <w:b/>
          <w:bCs/>
          <w:kern w:val="0"/>
          <w:sz w:val="27"/>
          <w:szCs w:val="27"/>
          <w14:ligatures w14:val="none"/>
        </w:rPr>
      </w:pPr>
      <w:r w:rsidRPr="00740B2E">
        <w:rPr>
          <w:rFonts w:eastAsia="Times New Roman" w:cs="Times New Roman"/>
          <w:b/>
          <w:bCs/>
          <w:kern w:val="0"/>
          <w:sz w:val="27"/>
          <w:szCs w:val="27"/>
          <w14:ligatures w14:val="none"/>
        </w:rPr>
        <w:t>1. Executive Summary</w:t>
      </w:r>
    </w:p>
    <w:p w14:paraId="4A35409A" w14:textId="77777777" w:rsidR="002979E3" w:rsidRDefault="002979E3" w:rsidP="002979E3">
      <w:pPr>
        <w:spacing w:after="120" w:line="240" w:lineRule="auto"/>
        <w:rPr>
          <w:rFonts w:eastAsia="Times New Roman" w:cs="Times New Roman"/>
          <w:kern w:val="0"/>
          <w14:ligatures w14:val="none"/>
        </w:rPr>
      </w:pPr>
      <w:r w:rsidRPr="00740B2E">
        <w:rPr>
          <w:rFonts w:eastAsia="Times New Roman" w:cs="Arial"/>
          <w:kern w:val="0"/>
          <w:sz w:val="21"/>
          <w:szCs w:val="21"/>
          <w14:ligatures w14:val="none"/>
        </w:rPr>
        <w:t>The global trade environment in 2024–2025 is characterized by a "K-shaped" recovery. While total global trade is projected to reach a record </w:t>
      </w:r>
      <w:r>
        <w:rPr>
          <w:rFonts w:eastAsia="Times New Roman" w:cs="Arial"/>
          <w:kern w:val="0"/>
          <w:sz w:val="21"/>
          <w:szCs w:val="21"/>
          <w14:ligatures w14:val="none"/>
        </w:rPr>
        <w:t>$33T, LMICs are facing increasing headwinds. The most significant obstacle is the</w:t>
      </w:r>
      <w:r w:rsidRPr="00F8123D">
        <w:rPr>
          <w:rFonts w:eastAsia="Times New Roman" w:cs="Arial"/>
          <w:b/>
          <w:bCs/>
          <w:kern w:val="0"/>
          <w:sz w:val="21"/>
          <w:szCs w:val="21"/>
          <w14:ligatures w14:val="none"/>
        </w:rPr>
        <w:t xml:space="preserve"> $2.5T</w:t>
      </w:r>
      <w:r w:rsidRPr="00740B2E">
        <w:rPr>
          <w:rFonts w:eastAsia="Times New Roman" w:cs="Times New Roman"/>
          <w:b/>
          <w:bCs/>
          <w:kern w:val="0"/>
          <w14:ligatures w14:val="none"/>
        </w:rPr>
        <w:t xml:space="preserve"> trillion trade finance gap</w:t>
      </w:r>
      <w:r w:rsidRPr="00740B2E">
        <w:rPr>
          <w:rFonts w:eastAsia="Times New Roman" w:cs="Times New Roman"/>
          <w:kern w:val="0"/>
          <w14:ligatures w14:val="none"/>
        </w:rPr>
        <w:t xml:space="preserve">, which represents the unmet demand for the credit, guarantees, and insurance necessary to facilitate cross-border transactions. </w:t>
      </w:r>
    </w:p>
    <w:p w14:paraId="77FC36EC" w14:textId="77777777" w:rsidR="002979E3" w:rsidRPr="00740B2E" w:rsidRDefault="002979E3" w:rsidP="002979E3">
      <w:pPr>
        <w:spacing w:after="120" w:line="240" w:lineRule="auto"/>
        <w:rPr>
          <w:rFonts w:eastAsia="Times New Roman" w:cs="Arial"/>
          <w:b/>
          <w:bCs/>
          <w:kern w:val="0"/>
          <w:sz w:val="21"/>
          <w:szCs w:val="21"/>
          <w14:ligatures w14:val="none"/>
        </w:rPr>
      </w:pPr>
      <w:r w:rsidRPr="00740B2E">
        <w:rPr>
          <w:rFonts w:eastAsia="Times New Roman" w:cs="Times New Roman"/>
          <w:kern w:val="0"/>
          <w14:ligatures w14:val="none"/>
        </w:rPr>
        <w:t>This gap disproportionately affects Small and Medium Enterprises (SMEs) in emerging markets, effectively locking them out of global value chains.</w:t>
      </w:r>
    </w:p>
    <w:p w14:paraId="21D3F9EA" w14:textId="77777777" w:rsidR="002979E3" w:rsidRPr="00740B2E" w:rsidRDefault="002979E3" w:rsidP="002979E3">
      <w:pPr>
        <w:spacing w:after="240" w:line="240" w:lineRule="auto"/>
        <w:outlineLvl w:val="1"/>
        <w:rPr>
          <w:rFonts w:eastAsia="Times New Roman" w:cs="Times New Roman"/>
          <w:b/>
          <w:bCs/>
          <w:kern w:val="0"/>
          <w:sz w:val="27"/>
          <w:szCs w:val="27"/>
          <w14:ligatures w14:val="none"/>
        </w:rPr>
      </w:pPr>
      <w:r w:rsidRPr="00740B2E">
        <w:rPr>
          <w:rFonts w:eastAsia="Times New Roman" w:cs="Times New Roman"/>
          <w:b/>
          <w:bCs/>
          <w:kern w:val="0"/>
          <w:sz w:val="27"/>
          <w:szCs w:val="27"/>
          <w14:ligatures w14:val="none"/>
        </w:rPr>
        <w:t>2. The Current Trade Landscape for LMICs</w:t>
      </w:r>
    </w:p>
    <w:p w14:paraId="5C275B5A" w14:textId="77777777" w:rsidR="002979E3" w:rsidRPr="00740B2E" w:rsidRDefault="002979E3" w:rsidP="002979E3">
      <w:pPr>
        <w:spacing w:after="120" w:line="240" w:lineRule="auto"/>
        <w:rPr>
          <w:rFonts w:eastAsia="Times New Roman" w:cs="Arial"/>
          <w:kern w:val="0"/>
          <w:sz w:val="21"/>
          <w:szCs w:val="21"/>
          <w14:ligatures w14:val="none"/>
        </w:rPr>
      </w:pPr>
      <w:r w:rsidRPr="00740B2E">
        <w:rPr>
          <w:rFonts w:eastAsia="Times New Roman" w:cs="Arial"/>
          <w:kern w:val="0"/>
          <w:sz w:val="21"/>
          <w:szCs w:val="21"/>
          <w14:ligatures w14:val="none"/>
        </w:rPr>
        <w:t>While global trade volumes are rising, the benefits are not evenly distributed. Key trends affecting LMICs include:</w:t>
      </w:r>
    </w:p>
    <w:p w14:paraId="6CE86143" w14:textId="77777777" w:rsidR="002979E3" w:rsidRPr="00740B2E" w:rsidRDefault="002979E3" w:rsidP="002979E3">
      <w:pPr>
        <w:numPr>
          <w:ilvl w:val="0"/>
          <w:numId w:val="1"/>
        </w:numPr>
        <w:spacing w:after="120" w:line="240" w:lineRule="auto"/>
        <w:rPr>
          <w:rFonts w:eastAsia="Times New Roman" w:cs="Arial"/>
          <w:kern w:val="0"/>
          <w:sz w:val="21"/>
          <w:szCs w:val="21"/>
          <w14:ligatures w14:val="none"/>
        </w:rPr>
      </w:pPr>
      <w:r w:rsidRPr="00740B2E">
        <w:rPr>
          <w:rFonts w:eastAsia="Times New Roman" w:cs="Arial"/>
          <w:b/>
          <w:bCs/>
          <w:kern w:val="0"/>
          <w:sz w:val="21"/>
          <w:szCs w:val="21"/>
          <w14:ligatures w14:val="none"/>
        </w:rPr>
        <w:t>Service-Led Growth:</w:t>
      </w:r>
      <w:r w:rsidRPr="00740B2E">
        <w:rPr>
          <w:rFonts w:eastAsia="Times New Roman" w:cs="Arial"/>
          <w:kern w:val="0"/>
          <w:sz w:val="21"/>
          <w:szCs w:val="21"/>
          <w14:ligatures w14:val="none"/>
        </w:rPr>
        <w:t> Global trade in services is growing at nearly </w:t>
      </w:r>
      <w:r w:rsidRPr="00740B2E">
        <w:rPr>
          <w:rFonts w:eastAsia="Times New Roman" w:cs="Arial"/>
          <w:b/>
          <w:bCs/>
          <w:kern w:val="0"/>
          <w:sz w:val="21"/>
          <w:szCs w:val="21"/>
          <w14:ligatures w14:val="none"/>
        </w:rPr>
        <w:t>7%</w:t>
      </w:r>
      <w:r w:rsidRPr="00740B2E">
        <w:rPr>
          <w:rFonts w:eastAsia="Times New Roman" w:cs="Arial"/>
          <w:kern w:val="0"/>
          <w:sz w:val="21"/>
          <w:szCs w:val="21"/>
          <w14:ligatures w14:val="none"/>
        </w:rPr>
        <w:t>, significantly outpacing merchandise trade (2%).[</w:t>
      </w:r>
      <w:hyperlink r:id="rId5" w:tgtFrame="_blank" w:history="1">
        <w:r w:rsidRPr="00740B2E">
          <w:rPr>
            <w:rFonts w:eastAsia="Times New Roman" w:cs="Arial"/>
            <w:color w:val="2483E2"/>
            <w:kern w:val="0"/>
            <w:sz w:val="21"/>
            <w:szCs w:val="21"/>
            <w14:ligatures w14:val="none"/>
          </w:rPr>
          <w:t>6</w:t>
        </w:r>
      </w:hyperlink>
      <w:r w:rsidRPr="00740B2E">
        <w:rPr>
          <w:rFonts w:eastAsia="Times New Roman" w:cs="Arial"/>
          <w:kern w:val="0"/>
          <w:sz w:val="21"/>
          <w:szCs w:val="21"/>
          <w14:ligatures w14:val="none"/>
        </w:rPr>
        <w:t>] LMICs that have pivoted toward digital services and tourism are seeing better recovery than those reliant solely on raw commodity exports.</w:t>
      </w:r>
    </w:p>
    <w:p w14:paraId="29E831D1" w14:textId="77777777" w:rsidR="002979E3" w:rsidRPr="00740B2E" w:rsidRDefault="002979E3" w:rsidP="002979E3">
      <w:pPr>
        <w:numPr>
          <w:ilvl w:val="0"/>
          <w:numId w:val="1"/>
        </w:numPr>
        <w:spacing w:after="120" w:line="240" w:lineRule="auto"/>
        <w:rPr>
          <w:rFonts w:eastAsia="Times New Roman" w:cs="Arial"/>
          <w:kern w:val="0"/>
          <w:sz w:val="21"/>
          <w:szCs w:val="21"/>
          <w14:ligatures w14:val="none"/>
        </w:rPr>
      </w:pPr>
      <w:r w:rsidRPr="00740B2E">
        <w:rPr>
          <w:rFonts w:eastAsia="Times New Roman" w:cs="Arial"/>
          <w:b/>
          <w:bCs/>
          <w:kern w:val="0"/>
          <w:sz w:val="21"/>
          <w:szCs w:val="21"/>
          <w14:ligatures w14:val="none"/>
        </w:rPr>
        <w:t>South-South Trade Stagnation:</w:t>
      </w:r>
      <w:r w:rsidRPr="00740B2E">
        <w:rPr>
          <w:rFonts w:eastAsia="Times New Roman" w:cs="Arial"/>
          <w:kern w:val="0"/>
          <w:sz w:val="21"/>
          <w:szCs w:val="21"/>
          <w14:ligatures w14:val="none"/>
        </w:rPr>
        <w:t> After years of growth, trade between developing nations (South-South trade) has recently faced volatility, dropping by roughly </w:t>
      </w:r>
      <w:r w:rsidRPr="00740B2E">
        <w:rPr>
          <w:rFonts w:eastAsia="Times New Roman" w:cs="Arial"/>
          <w:b/>
          <w:bCs/>
          <w:kern w:val="0"/>
          <w:sz w:val="21"/>
          <w:szCs w:val="21"/>
          <w14:ligatures w14:val="none"/>
        </w:rPr>
        <w:t>1%</w:t>
      </w:r>
      <w:r w:rsidRPr="00740B2E">
        <w:rPr>
          <w:rFonts w:eastAsia="Times New Roman" w:cs="Arial"/>
          <w:kern w:val="0"/>
          <w:sz w:val="21"/>
          <w:szCs w:val="21"/>
          <w14:ligatures w14:val="none"/>
        </w:rPr>
        <w:t> in recent quarters due to fluctuating demand in major emerging hubs like China and India.</w:t>
      </w:r>
    </w:p>
    <w:p w14:paraId="4BCBD6BF" w14:textId="77777777" w:rsidR="002979E3" w:rsidRPr="00740B2E" w:rsidRDefault="002979E3" w:rsidP="002979E3">
      <w:pPr>
        <w:numPr>
          <w:ilvl w:val="0"/>
          <w:numId w:val="1"/>
        </w:numPr>
        <w:spacing w:after="120" w:line="240" w:lineRule="auto"/>
        <w:rPr>
          <w:rFonts w:eastAsia="Times New Roman" w:cs="Arial"/>
          <w:kern w:val="0"/>
          <w:sz w:val="21"/>
          <w:szCs w:val="21"/>
          <w14:ligatures w14:val="none"/>
        </w:rPr>
      </w:pPr>
      <w:r w:rsidRPr="00740B2E">
        <w:rPr>
          <w:rFonts w:eastAsia="Times New Roman" w:cs="Arial"/>
          <w:b/>
          <w:bCs/>
          <w:kern w:val="0"/>
          <w:sz w:val="21"/>
          <w:szCs w:val="21"/>
          <w14:ligatures w14:val="none"/>
        </w:rPr>
        <w:t>Geopolitical Fragmentation:</w:t>
      </w:r>
      <w:r w:rsidRPr="00740B2E">
        <w:rPr>
          <w:rFonts w:eastAsia="Times New Roman" w:cs="Arial"/>
          <w:kern w:val="0"/>
          <w:sz w:val="21"/>
          <w:szCs w:val="21"/>
          <w14:ligatures w14:val="none"/>
        </w:rPr>
        <w:t> The rise of "near-shoring" and "friend-shoring" is shifting trade routes. While countries like Vietnam, Mexico, and India are benefiting from supply chain diversification away from China, lower-income countries in Sub-Saharan Africa and Central Asia often lack the infrastructure to capture these shifts.</w:t>
      </w:r>
    </w:p>
    <w:p w14:paraId="65FA4396" w14:textId="77777777" w:rsidR="002979E3" w:rsidRPr="00740B2E" w:rsidRDefault="002979E3" w:rsidP="002979E3">
      <w:pPr>
        <w:numPr>
          <w:ilvl w:val="0"/>
          <w:numId w:val="1"/>
        </w:numPr>
        <w:spacing w:after="120" w:line="240" w:lineRule="auto"/>
        <w:rPr>
          <w:rFonts w:eastAsia="Times New Roman" w:cs="Arial"/>
          <w:kern w:val="0"/>
          <w:sz w:val="21"/>
          <w:szCs w:val="21"/>
          <w14:ligatures w14:val="none"/>
        </w:rPr>
      </w:pPr>
      <w:r w:rsidRPr="00740B2E">
        <w:rPr>
          <w:rFonts w:eastAsia="Times New Roman" w:cs="Arial"/>
          <w:b/>
          <w:bCs/>
          <w:kern w:val="0"/>
          <w:sz w:val="21"/>
          <w:szCs w:val="21"/>
          <w14:ligatures w14:val="none"/>
        </w:rPr>
        <w:t>Tariff Pressures:</w:t>
      </w:r>
      <w:r w:rsidRPr="00740B2E">
        <w:rPr>
          <w:rFonts w:eastAsia="Times New Roman" w:cs="Arial"/>
          <w:kern w:val="0"/>
          <w:sz w:val="21"/>
          <w:szCs w:val="21"/>
          <w14:ligatures w14:val="none"/>
        </w:rPr>
        <w:t> Renewed protectionist policies and the threat of broad tariffs in major markets (U.S., EU) create uncertainty for LMIC exporters, who often lack the legal and financial resources to navigate complex trade disputes.</w:t>
      </w:r>
    </w:p>
    <w:p w14:paraId="4CFFC867" w14:textId="77777777" w:rsidR="002979E3" w:rsidRPr="00740B2E" w:rsidRDefault="002979E3" w:rsidP="002979E3">
      <w:pPr>
        <w:spacing w:after="240" w:line="240" w:lineRule="auto"/>
        <w:outlineLvl w:val="1"/>
        <w:rPr>
          <w:rFonts w:eastAsia="Times New Roman" w:cs="Times New Roman"/>
          <w:b/>
          <w:bCs/>
          <w:kern w:val="0"/>
          <w:sz w:val="27"/>
          <w:szCs w:val="27"/>
          <w14:ligatures w14:val="none"/>
        </w:rPr>
      </w:pPr>
      <w:r w:rsidRPr="00740B2E">
        <w:rPr>
          <w:rFonts w:eastAsia="Times New Roman" w:cs="Times New Roman"/>
          <w:b/>
          <w:bCs/>
          <w:kern w:val="0"/>
          <w:sz w:val="27"/>
          <w:szCs w:val="27"/>
          <w14:ligatures w14:val="none"/>
        </w:rPr>
        <w:t>3. The $2.5 Trillion Trade Finance Gap</w:t>
      </w:r>
    </w:p>
    <w:p w14:paraId="0BB7FB60" w14:textId="39C58920" w:rsidR="002979E3" w:rsidRPr="00740B2E" w:rsidRDefault="002979E3" w:rsidP="002979E3">
      <w:pPr>
        <w:spacing w:after="120" w:line="240" w:lineRule="auto"/>
        <w:rPr>
          <w:rFonts w:eastAsia="Times New Roman" w:cs="Arial"/>
          <w:kern w:val="0"/>
          <w:sz w:val="21"/>
          <w:szCs w:val="21"/>
          <w14:ligatures w14:val="none"/>
        </w:rPr>
      </w:pPr>
      <w:r w:rsidRPr="00740B2E">
        <w:rPr>
          <w:rFonts w:eastAsia="Times New Roman" w:cs="Arial"/>
          <w:kern w:val="0"/>
          <w:sz w:val="21"/>
          <w:szCs w:val="21"/>
          <w14:ligatures w14:val="none"/>
        </w:rPr>
        <w:t>International trade relies heavily on financing; approximately </w:t>
      </w:r>
      <w:r w:rsidRPr="00740B2E">
        <w:rPr>
          <w:rFonts w:eastAsia="Times New Roman" w:cs="Arial"/>
          <w:b/>
          <w:bCs/>
          <w:kern w:val="0"/>
          <w:sz w:val="21"/>
          <w:szCs w:val="21"/>
          <w14:ligatures w14:val="none"/>
        </w:rPr>
        <w:t>80% to 90%</w:t>
      </w:r>
      <w:r w:rsidRPr="00740B2E">
        <w:rPr>
          <w:rFonts w:eastAsia="Times New Roman" w:cs="Arial"/>
          <w:kern w:val="0"/>
          <w:sz w:val="21"/>
          <w:szCs w:val="21"/>
          <w14:ligatures w14:val="none"/>
        </w:rPr>
        <w:t> of all global trade requires some form of credit or guarantee.</w:t>
      </w:r>
      <w:r w:rsidR="00BD528D">
        <w:rPr>
          <w:rFonts w:eastAsia="Times New Roman" w:cs="Arial"/>
          <w:kern w:val="0"/>
          <w:sz w:val="21"/>
          <w:szCs w:val="21"/>
          <w14:ligatures w14:val="none"/>
        </w:rPr>
        <w:t xml:space="preserve"> </w:t>
      </w:r>
      <w:r w:rsidRPr="00740B2E">
        <w:rPr>
          <w:rFonts w:eastAsia="Times New Roman" w:cs="Arial"/>
          <w:kern w:val="0"/>
          <w:sz w:val="21"/>
          <w:szCs w:val="21"/>
          <w14:ligatures w14:val="none"/>
        </w:rPr>
        <w:t>[</w:t>
      </w:r>
      <w:hyperlink r:id="rId6" w:tgtFrame="_blank" w:history="1">
        <w:r w:rsidRPr="00740B2E">
          <w:rPr>
            <w:rFonts w:eastAsia="Times New Roman" w:cs="Arial"/>
            <w:color w:val="2483E2"/>
            <w:kern w:val="0"/>
            <w:sz w:val="21"/>
            <w:szCs w:val="21"/>
            <w14:ligatures w14:val="none"/>
          </w:rPr>
          <w:t>7</w:t>
        </w:r>
      </w:hyperlink>
      <w:r w:rsidRPr="00740B2E">
        <w:rPr>
          <w:rFonts w:eastAsia="Times New Roman" w:cs="Arial"/>
          <w:kern w:val="0"/>
          <w:sz w:val="21"/>
          <w:szCs w:val="21"/>
          <w14:ligatures w14:val="none"/>
        </w:rPr>
        <w:t>] The "Trade Finance Gap" is the difference between the financing requests made by companies and the approvals granted by banks.</w:t>
      </w:r>
      <w:r w:rsidR="00BD528D">
        <w:rPr>
          <w:rFonts w:eastAsia="Times New Roman" w:cs="Arial"/>
          <w:kern w:val="0"/>
          <w:sz w:val="21"/>
          <w:szCs w:val="21"/>
          <w14:ligatures w14:val="none"/>
        </w:rPr>
        <w:t xml:space="preserve"> </w:t>
      </w:r>
      <w:r w:rsidRPr="00740B2E">
        <w:rPr>
          <w:rFonts w:eastAsia="Times New Roman" w:cs="Arial"/>
          <w:kern w:val="0"/>
          <w:sz w:val="21"/>
          <w:szCs w:val="21"/>
          <w14:ligatures w14:val="none"/>
        </w:rPr>
        <w:t>[</w:t>
      </w:r>
      <w:hyperlink r:id="rId7" w:tgtFrame="_blank" w:history="1">
        <w:r w:rsidRPr="00740B2E">
          <w:rPr>
            <w:rFonts w:eastAsia="Times New Roman" w:cs="Arial"/>
            <w:color w:val="2483E2"/>
            <w:kern w:val="0"/>
            <w:sz w:val="21"/>
            <w:szCs w:val="21"/>
            <w14:ligatures w14:val="none"/>
          </w:rPr>
          <w:t>1</w:t>
        </w:r>
      </w:hyperlink>
      <w:r w:rsidRPr="00740B2E">
        <w:rPr>
          <w:rFonts w:eastAsia="Times New Roman" w:cs="Arial"/>
          <w:kern w:val="0"/>
          <w:sz w:val="21"/>
          <w:szCs w:val="21"/>
          <w14:ligatures w14:val="none"/>
        </w:rPr>
        <w:t>][</w:t>
      </w:r>
      <w:hyperlink r:id="rId8" w:tgtFrame="_blank" w:history="1">
        <w:r w:rsidRPr="00740B2E">
          <w:rPr>
            <w:rFonts w:eastAsia="Times New Roman" w:cs="Arial"/>
            <w:color w:val="2483E2"/>
            <w:kern w:val="0"/>
            <w:sz w:val="21"/>
            <w:szCs w:val="21"/>
            <w14:ligatures w14:val="none"/>
          </w:rPr>
          <w:t>8</w:t>
        </w:r>
      </w:hyperlink>
      <w:r w:rsidRPr="00740B2E">
        <w:rPr>
          <w:rFonts w:eastAsia="Times New Roman" w:cs="Arial"/>
          <w:kern w:val="0"/>
          <w:sz w:val="21"/>
          <w:szCs w:val="21"/>
          <w14:ligatures w14:val="none"/>
        </w:rPr>
        <w:t>]</w:t>
      </w:r>
    </w:p>
    <w:p w14:paraId="2C335131" w14:textId="77777777" w:rsidR="002979E3" w:rsidRPr="00740B2E" w:rsidRDefault="002979E3" w:rsidP="002979E3">
      <w:pPr>
        <w:spacing w:after="240" w:line="240" w:lineRule="auto"/>
        <w:outlineLvl w:val="2"/>
        <w:rPr>
          <w:rFonts w:eastAsia="Times New Roman" w:cs="Times New Roman"/>
          <w:b/>
          <w:bCs/>
          <w:kern w:val="0"/>
          <w:sz w:val="27"/>
          <w:szCs w:val="27"/>
          <w14:ligatures w14:val="none"/>
        </w:rPr>
      </w:pPr>
      <w:r w:rsidRPr="00740B2E">
        <w:rPr>
          <w:rFonts w:eastAsia="Times New Roman" w:cs="Times New Roman"/>
          <w:b/>
          <w:bCs/>
          <w:kern w:val="0"/>
          <w:sz w:val="27"/>
          <w:szCs w:val="27"/>
          <w14:ligatures w14:val="none"/>
        </w:rPr>
        <w:t>Key Statistics:</w:t>
      </w:r>
    </w:p>
    <w:p w14:paraId="47BE8AEF" w14:textId="79F25580" w:rsidR="002979E3" w:rsidRPr="00740B2E" w:rsidRDefault="002979E3" w:rsidP="002979E3">
      <w:pPr>
        <w:numPr>
          <w:ilvl w:val="0"/>
          <w:numId w:val="2"/>
        </w:numPr>
        <w:spacing w:after="120" w:line="240" w:lineRule="auto"/>
        <w:rPr>
          <w:rFonts w:eastAsia="Times New Roman" w:cs="Arial"/>
          <w:kern w:val="0"/>
          <w:sz w:val="21"/>
          <w:szCs w:val="21"/>
          <w14:ligatures w14:val="none"/>
        </w:rPr>
      </w:pPr>
      <w:r w:rsidRPr="00740B2E">
        <w:rPr>
          <w:rFonts w:eastAsia="Times New Roman" w:cs="Arial"/>
          <w:b/>
          <w:bCs/>
          <w:kern w:val="0"/>
          <w:sz w:val="21"/>
          <w:szCs w:val="21"/>
          <w14:ligatures w14:val="none"/>
        </w:rPr>
        <w:t>Current Magnitude:</w:t>
      </w:r>
      <w:r w:rsidRPr="00740B2E">
        <w:rPr>
          <w:rFonts w:eastAsia="Times New Roman" w:cs="Arial"/>
          <w:kern w:val="0"/>
          <w:sz w:val="21"/>
          <w:szCs w:val="21"/>
          <w14:ligatures w14:val="none"/>
        </w:rPr>
        <w:t> The gap reached </w:t>
      </w:r>
      <w:r w:rsidRPr="00740B2E">
        <w:rPr>
          <w:rFonts w:eastAsia="Times New Roman" w:cs="Arial"/>
          <w:b/>
          <w:bCs/>
          <w:kern w:val="0"/>
          <w:sz w:val="21"/>
          <w:szCs w:val="21"/>
          <w14:ligatures w14:val="none"/>
        </w:rPr>
        <w:t>$2.5 trillion</w:t>
      </w:r>
      <w:r w:rsidRPr="00740B2E">
        <w:rPr>
          <w:rFonts w:eastAsia="Times New Roman" w:cs="Arial"/>
          <w:kern w:val="0"/>
          <w:sz w:val="21"/>
          <w:szCs w:val="21"/>
          <w14:ligatures w14:val="none"/>
        </w:rPr>
        <w:t xml:space="preserve"> in 2022 and </w:t>
      </w:r>
      <w:r w:rsidR="00BD528D" w:rsidRPr="00740B2E">
        <w:rPr>
          <w:rFonts w:eastAsia="Times New Roman" w:cs="Arial"/>
          <w:kern w:val="0"/>
          <w:sz w:val="21"/>
          <w:szCs w:val="21"/>
          <w14:ligatures w14:val="none"/>
        </w:rPr>
        <w:t>remained</w:t>
      </w:r>
      <w:r w:rsidRPr="00740B2E">
        <w:rPr>
          <w:rFonts w:eastAsia="Times New Roman" w:cs="Arial"/>
          <w:kern w:val="0"/>
          <w:sz w:val="21"/>
          <w:szCs w:val="21"/>
          <w14:ligatures w14:val="none"/>
        </w:rPr>
        <w:t xml:space="preserve"> at this elevated level through 2024.</w:t>
      </w:r>
    </w:p>
    <w:p w14:paraId="73E4CD43" w14:textId="60C70AE8" w:rsidR="002979E3" w:rsidRPr="00740B2E" w:rsidRDefault="002979E3" w:rsidP="002979E3">
      <w:pPr>
        <w:numPr>
          <w:ilvl w:val="0"/>
          <w:numId w:val="2"/>
        </w:numPr>
        <w:spacing w:after="120" w:line="240" w:lineRule="auto"/>
        <w:rPr>
          <w:rFonts w:eastAsia="Times New Roman" w:cs="Arial"/>
          <w:kern w:val="0"/>
          <w:sz w:val="21"/>
          <w:szCs w:val="21"/>
          <w14:ligatures w14:val="none"/>
        </w:rPr>
      </w:pPr>
      <w:r w:rsidRPr="00740B2E">
        <w:rPr>
          <w:rFonts w:eastAsia="Times New Roman" w:cs="Arial"/>
          <w:b/>
          <w:bCs/>
          <w:kern w:val="0"/>
          <w:sz w:val="21"/>
          <w:szCs w:val="21"/>
          <w14:ligatures w14:val="none"/>
        </w:rPr>
        <w:t>Growth Trajectory:</w:t>
      </w:r>
      <w:r w:rsidRPr="00740B2E">
        <w:rPr>
          <w:rFonts w:eastAsia="Times New Roman" w:cs="Arial"/>
          <w:kern w:val="0"/>
          <w:sz w:val="21"/>
          <w:szCs w:val="21"/>
          <w14:ligatures w14:val="none"/>
        </w:rPr>
        <w:t> The gap has nearly doubled since 2015, when it stood at </w:t>
      </w:r>
      <w:r w:rsidRPr="00740B2E">
        <w:rPr>
          <w:rFonts w:eastAsia="Times New Roman" w:cs="Arial"/>
          <w:b/>
          <w:bCs/>
          <w:kern w:val="0"/>
          <w:sz w:val="21"/>
          <w:szCs w:val="21"/>
          <w14:ligatures w14:val="none"/>
        </w:rPr>
        <w:t>$1.5 trillion</w:t>
      </w:r>
      <w:r w:rsidRPr="00740B2E">
        <w:rPr>
          <w:rFonts w:eastAsia="Times New Roman" w:cs="Arial"/>
          <w:kern w:val="0"/>
          <w:sz w:val="21"/>
          <w:szCs w:val="21"/>
          <w14:ligatures w14:val="none"/>
        </w:rPr>
        <w:t>.</w:t>
      </w:r>
      <w:r w:rsidR="00BD528D">
        <w:rPr>
          <w:rFonts w:eastAsia="Times New Roman" w:cs="Arial"/>
          <w:kern w:val="0"/>
          <w:sz w:val="21"/>
          <w:szCs w:val="21"/>
          <w14:ligatures w14:val="none"/>
        </w:rPr>
        <w:t xml:space="preserve"> </w:t>
      </w:r>
      <w:r w:rsidRPr="00740B2E">
        <w:rPr>
          <w:rFonts w:eastAsia="Times New Roman" w:cs="Arial"/>
          <w:kern w:val="0"/>
          <w:sz w:val="21"/>
          <w:szCs w:val="21"/>
          <w14:ligatures w14:val="none"/>
        </w:rPr>
        <w:t>[</w:t>
      </w:r>
      <w:hyperlink r:id="rId9" w:tgtFrame="_blank" w:history="1">
        <w:r w:rsidRPr="00740B2E">
          <w:rPr>
            <w:rFonts w:eastAsia="Times New Roman" w:cs="Arial"/>
            <w:color w:val="2483E2"/>
            <w:kern w:val="0"/>
            <w:sz w:val="21"/>
            <w:szCs w:val="21"/>
            <w14:ligatures w14:val="none"/>
          </w:rPr>
          <w:t>5</w:t>
        </w:r>
      </w:hyperlink>
      <w:r w:rsidRPr="00740B2E">
        <w:rPr>
          <w:rFonts w:eastAsia="Times New Roman" w:cs="Arial"/>
          <w:kern w:val="0"/>
          <w:sz w:val="21"/>
          <w:szCs w:val="21"/>
          <w14:ligatures w14:val="none"/>
        </w:rPr>
        <w:t>][</w:t>
      </w:r>
      <w:hyperlink r:id="rId10" w:tgtFrame="_blank" w:history="1">
        <w:r w:rsidRPr="00740B2E">
          <w:rPr>
            <w:rFonts w:eastAsia="Times New Roman" w:cs="Arial"/>
            <w:color w:val="2483E2"/>
            <w:kern w:val="0"/>
            <w:sz w:val="21"/>
            <w:szCs w:val="21"/>
            <w14:ligatures w14:val="none"/>
          </w:rPr>
          <w:t>9</w:t>
        </w:r>
      </w:hyperlink>
      <w:r w:rsidRPr="00740B2E">
        <w:rPr>
          <w:rFonts w:eastAsia="Times New Roman" w:cs="Arial"/>
          <w:kern w:val="0"/>
          <w:sz w:val="21"/>
          <w:szCs w:val="21"/>
          <w14:ligatures w14:val="none"/>
        </w:rPr>
        <w:t>]</w:t>
      </w:r>
    </w:p>
    <w:p w14:paraId="726C2C11" w14:textId="5ABE70A1" w:rsidR="00BD528D" w:rsidRDefault="002979E3" w:rsidP="004B6EDB">
      <w:pPr>
        <w:numPr>
          <w:ilvl w:val="0"/>
          <w:numId w:val="2"/>
        </w:numPr>
        <w:spacing w:after="120" w:line="240" w:lineRule="auto"/>
        <w:rPr>
          <w:rFonts w:eastAsia="Times New Roman" w:cs="Arial"/>
          <w:kern w:val="0"/>
          <w:sz w:val="21"/>
          <w:szCs w:val="21"/>
          <w14:ligatures w14:val="none"/>
        </w:rPr>
      </w:pPr>
      <w:r w:rsidRPr="00740B2E">
        <w:rPr>
          <w:rFonts w:eastAsia="Times New Roman" w:cs="Arial"/>
          <w:b/>
          <w:bCs/>
          <w:kern w:val="0"/>
          <w:sz w:val="21"/>
          <w:szCs w:val="21"/>
          <w14:ligatures w14:val="none"/>
        </w:rPr>
        <w:t>Rejection Rates:</w:t>
      </w:r>
      <w:r w:rsidRPr="00740B2E">
        <w:rPr>
          <w:rFonts w:eastAsia="Times New Roman" w:cs="Arial"/>
          <w:kern w:val="0"/>
          <w:sz w:val="21"/>
          <w:szCs w:val="21"/>
          <w14:ligatures w14:val="none"/>
        </w:rPr>
        <w:t> In developing Asia and Africa, rejection rates for trade finance requests from SMEs hover between </w:t>
      </w:r>
      <w:r w:rsidRPr="00740B2E">
        <w:rPr>
          <w:rFonts w:eastAsia="Times New Roman" w:cs="Arial"/>
          <w:b/>
          <w:bCs/>
          <w:kern w:val="0"/>
          <w:sz w:val="21"/>
          <w:szCs w:val="21"/>
          <w14:ligatures w14:val="none"/>
        </w:rPr>
        <w:t>41% and 45%</w:t>
      </w:r>
      <w:r w:rsidRPr="00740B2E">
        <w:rPr>
          <w:rFonts w:eastAsia="Times New Roman" w:cs="Arial"/>
          <w:kern w:val="0"/>
          <w:sz w:val="21"/>
          <w:szCs w:val="21"/>
          <w14:ligatures w14:val="none"/>
        </w:rPr>
        <w:t>, compared to only </w:t>
      </w:r>
      <w:r w:rsidRPr="00740B2E">
        <w:rPr>
          <w:rFonts w:eastAsia="Times New Roman" w:cs="Arial"/>
          <w:b/>
          <w:bCs/>
          <w:kern w:val="0"/>
          <w:sz w:val="21"/>
          <w:szCs w:val="21"/>
          <w14:ligatures w14:val="none"/>
        </w:rPr>
        <w:t>7%</w:t>
      </w:r>
      <w:r w:rsidRPr="00740B2E">
        <w:rPr>
          <w:rFonts w:eastAsia="Times New Roman" w:cs="Arial"/>
          <w:kern w:val="0"/>
          <w:sz w:val="21"/>
          <w:szCs w:val="21"/>
          <w14:ligatures w14:val="none"/>
        </w:rPr>
        <w:t> for multinational corporations.</w:t>
      </w:r>
    </w:p>
    <w:p w14:paraId="369C0FA0" w14:textId="77777777" w:rsidR="002979E3" w:rsidRPr="00740B2E" w:rsidRDefault="002979E3" w:rsidP="002979E3">
      <w:pPr>
        <w:spacing w:after="240" w:line="240" w:lineRule="auto"/>
        <w:outlineLvl w:val="1"/>
        <w:rPr>
          <w:rFonts w:eastAsia="Times New Roman" w:cs="Times New Roman"/>
          <w:b/>
          <w:bCs/>
          <w:kern w:val="0"/>
          <w:sz w:val="27"/>
          <w:szCs w:val="27"/>
          <w14:ligatures w14:val="none"/>
        </w:rPr>
      </w:pPr>
      <w:r w:rsidRPr="00740B2E">
        <w:rPr>
          <w:rFonts w:eastAsia="Times New Roman" w:cs="Times New Roman"/>
          <w:b/>
          <w:bCs/>
          <w:kern w:val="0"/>
          <w:sz w:val="27"/>
          <w:szCs w:val="27"/>
          <w14:ligatures w14:val="none"/>
        </w:rPr>
        <w:t>4. Root Causes of the Financing Deficit</w:t>
      </w:r>
    </w:p>
    <w:p w14:paraId="1C104C49" w14:textId="77777777" w:rsidR="002979E3" w:rsidRPr="00740B2E" w:rsidRDefault="002979E3" w:rsidP="003D0C21">
      <w:pPr>
        <w:widowControl w:val="0"/>
        <w:spacing w:after="120" w:line="240" w:lineRule="auto"/>
        <w:rPr>
          <w:rFonts w:eastAsia="Times New Roman" w:cs="Arial"/>
          <w:kern w:val="0"/>
          <w:sz w:val="21"/>
          <w:szCs w:val="21"/>
          <w14:ligatures w14:val="none"/>
        </w:rPr>
      </w:pPr>
      <w:r w:rsidRPr="00740B2E">
        <w:rPr>
          <w:rFonts w:eastAsia="Times New Roman" w:cs="Arial"/>
          <w:kern w:val="0"/>
          <w:sz w:val="21"/>
          <w:szCs w:val="21"/>
          <w14:ligatures w14:val="none"/>
        </w:rPr>
        <w:t xml:space="preserve">The gap is not primarily caused by a lack of liquidity, but by structural and perceived risks that make </w:t>
      </w:r>
      <w:r w:rsidRPr="00740B2E">
        <w:rPr>
          <w:rFonts w:eastAsia="Times New Roman" w:cs="Arial"/>
          <w:kern w:val="0"/>
          <w:sz w:val="21"/>
          <w:szCs w:val="21"/>
          <w14:ligatures w14:val="none"/>
        </w:rPr>
        <w:lastRenderedPageBreak/>
        <w:t>banks hesitant to lend in LMICs:</w:t>
      </w:r>
    </w:p>
    <w:p w14:paraId="384B5A39" w14:textId="77777777" w:rsidR="002979E3" w:rsidRPr="00740B2E" w:rsidRDefault="002979E3" w:rsidP="002979E3">
      <w:pPr>
        <w:numPr>
          <w:ilvl w:val="0"/>
          <w:numId w:val="3"/>
        </w:numPr>
        <w:spacing w:after="120" w:line="240" w:lineRule="auto"/>
        <w:rPr>
          <w:rFonts w:eastAsia="Times New Roman" w:cs="Arial"/>
          <w:kern w:val="0"/>
          <w:sz w:val="21"/>
          <w:szCs w:val="21"/>
          <w14:ligatures w14:val="none"/>
        </w:rPr>
      </w:pPr>
      <w:r w:rsidRPr="00740B2E">
        <w:rPr>
          <w:rFonts w:eastAsia="Times New Roman" w:cs="Arial"/>
          <w:b/>
          <w:bCs/>
          <w:kern w:val="0"/>
          <w:sz w:val="21"/>
          <w:szCs w:val="21"/>
          <w14:ligatures w14:val="none"/>
        </w:rPr>
        <w:t>Strict Compliance (KYC/AML):</w:t>
      </w:r>
      <w:r w:rsidRPr="00740B2E">
        <w:rPr>
          <w:rFonts w:eastAsia="Times New Roman" w:cs="Arial"/>
          <w:kern w:val="0"/>
          <w:sz w:val="21"/>
          <w:szCs w:val="21"/>
          <w14:ligatures w14:val="none"/>
        </w:rPr>
        <w:t> Anti-money laundering (AML) and Know Your Customer (KYC) regulations have led many global banks to "de-risk" – cutting ties with local banks in LMICs because the cost of compliance outweighs the potential profit from small transactions.</w:t>
      </w:r>
    </w:p>
    <w:p w14:paraId="3DD0FE0C" w14:textId="77777777" w:rsidR="002979E3" w:rsidRPr="00740B2E" w:rsidRDefault="002979E3" w:rsidP="002979E3">
      <w:pPr>
        <w:numPr>
          <w:ilvl w:val="0"/>
          <w:numId w:val="3"/>
        </w:numPr>
        <w:spacing w:after="120" w:line="240" w:lineRule="auto"/>
        <w:rPr>
          <w:rFonts w:eastAsia="Times New Roman" w:cs="Arial"/>
          <w:kern w:val="0"/>
          <w:sz w:val="21"/>
          <w:szCs w:val="21"/>
          <w14:ligatures w14:val="none"/>
        </w:rPr>
      </w:pPr>
      <w:r w:rsidRPr="00740B2E">
        <w:rPr>
          <w:rFonts w:eastAsia="Times New Roman" w:cs="Arial"/>
          <w:b/>
          <w:bCs/>
          <w:kern w:val="0"/>
          <w:sz w:val="21"/>
          <w:szCs w:val="21"/>
          <w14:ligatures w14:val="none"/>
        </w:rPr>
        <w:t>Dollar Liquidity Shortages:</w:t>
      </w:r>
      <w:r w:rsidRPr="00740B2E">
        <w:rPr>
          <w:rFonts w:eastAsia="Times New Roman" w:cs="Arial"/>
          <w:kern w:val="0"/>
          <w:sz w:val="21"/>
          <w:szCs w:val="21"/>
          <w14:ligatures w14:val="none"/>
        </w:rPr>
        <w:t> Most international trade is settled in U.S. Dollars. High interest rates in the U.S. have drawn capital away from emerging markets, making it expensive or impossible for LMIC banks to access the dollars needed to fund their importers and exporters.</w:t>
      </w:r>
    </w:p>
    <w:p w14:paraId="15AED4D3" w14:textId="77777777" w:rsidR="002979E3" w:rsidRPr="00740B2E" w:rsidRDefault="002979E3" w:rsidP="002979E3">
      <w:pPr>
        <w:numPr>
          <w:ilvl w:val="0"/>
          <w:numId w:val="3"/>
        </w:numPr>
        <w:spacing w:after="120" w:line="240" w:lineRule="auto"/>
        <w:rPr>
          <w:rFonts w:eastAsia="Times New Roman" w:cs="Arial"/>
          <w:kern w:val="0"/>
          <w:sz w:val="21"/>
          <w:szCs w:val="21"/>
          <w14:ligatures w14:val="none"/>
        </w:rPr>
      </w:pPr>
      <w:r w:rsidRPr="00740B2E">
        <w:rPr>
          <w:rFonts w:eastAsia="Times New Roman" w:cs="Arial"/>
          <w:b/>
          <w:bCs/>
          <w:kern w:val="0"/>
          <w:sz w:val="21"/>
          <w:szCs w:val="21"/>
          <w14:ligatures w14:val="none"/>
        </w:rPr>
        <w:t>Lack of Digital Infrastructure:</w:t>
      </w:r>
      <w:r w:rsidRPr="00740B2E">
        <w:rPr>
          <w:rFonts w:eastAsia="Times New Roman" w:cs="Arial"/>
          <w:kern w:val="0"/>
          <w:sz w:val="21"/>
          <w:szCs w:val="21"/>
          <w14:ligatures w14:val="none"/>
        </w:rPr>
        <w:t> In many LMICs, trade documentation is still paper based. This lack of data makes it difficult for banks to verify the authenticity of transactions, leading to higher perceived credit risks.</w:t>
      </w:r>
    </w:p>
    <w:p w14:paraId="6F275A8C" w14:textId="77777777" w:rsidR="002979E3" w:rsidRPr="00740B2E" w:rsidRDefault="002979E3" w:rsidP="002979E3">
      <w:pPr>
        <w:numPr>
          <w:ilvl w:val="0"/>
          <w:numId w:val="3"/>
        </w:numPr>
        <w:spacing w:after="120" w:line="240" w:lineRule="auto"/>
        <w:rPr>
          <w:rFonts w:eastAsia="Times New Roman" w:cs="Arial"/>
          <w:kern w:val="0"/>
          <w:sz w:val="21"/>
          <w:szCs w:val="21"/>
          <w14:ligatures w14:val="none"/>
        </w:rPr>
      </w:pPr>
      <w:r w:rsidRPr="00740B2E">
        <w:rPr>
          <w:rFonts w:eastAsia="Times New Roman" w:cs="Arial"/>
          <w:b/>
          <w:bCs/>
          <w:kern w:val="0"/>
          <w:sz w:val="21"/>
          <w:szCs w:val="21"/>
          <w14:ligatures w14:val="none"/>
        </w:rPr>
        <w:t>Macroeconomic Instability:</w:t>
      </w:r>
      <w:r w:rsidRPr="00740B2E">
        <w:rPr>
          <w:rFonts w:eastAsia="Times New Roman" w:cs="Arial"/>
          <w:kern w:val="0"/>
          <w:sz w:val="21"/>
          <w:szCs w:val="21"/>
          <w14:ligatures w14:val="none"/>
        </w:rPr>
        <w:t> Inflation, currency devaluation, and geopolitical conflicts (e.g., the Red Sea crisis and the war in Ukraine) have forced banks to tighten lending criteria to protect their balance sheets.</w:t>
      </w:r>
    </w:p>
    <w:p w14:paraId="53C99A07" w14:textId="77777777" w:rsidR="002979E3" w:rsidRPr="00740B2E" w:rsidRDefault="002979E3" w:rsidP="002979E3">
      <w:pPr>
        <w:spacing w:after="240" w:line="240" w:lineRule="auto"/>
        <w:outlineLvl w:val="1"/>
        <w:rPr>
          <w:rFonts w:eastAsia="Times New Roman" w:cs="Times New Roman"/>
          <w:b/>
          <w:bCs/>
          <w:kern w:val="0"/>
          <w:sz w:val="27"/>
          <w:szCs w:val="27"/>
          <w14:ligatures w14:val="none"/>
        </w:rPr>
      </w:pPr>
      <w:r w:rsidRPr="00740B2E">
        <w:rPr>
          <w:rFonts w:eastAsia="Times New Roman" w:cs="Times New Roman"/>
          <w:b/>
          <w:bCs/>
          <w:kern w:val="0"/>
          <w:sz w:val="27"/>
          <w:szCs w:val="27"/>
          <w14:ligatures w14:val="none"/>
        </w:rPr>
        <w:t>5. Disproportionate Impact on SMEs and Women</w:t>
      </w:r>
    </w:p>
    <w:p w14:paraId="7826F168" w14:textId="77777777" w:rsidR="002979E3" w:rsidRPr="00740B2E" w:rsidRDefault="002979E3" w:rsidP="002979E3">
      <w:pPr>
        <w:spacing w:after="120" w:line="240" w:lineRule="auto"/>
        <w:rPr>
          <w:rFonts w:eastAsia="Times New Roman" w:cs="Arial"/>
          <w:kern w:val="0"/>
          <w:sz w:val="21"/>
          <w:szCs w:val="21"/>
          <w14:ligatures w14:val="none"/>
        </w:rPr>
      </w:pPr>
      <w:r w:rsidRPr="00740B2E">
        <w:rPr>
          <w:rFonts w:eastAsia="Times New Roman" w:cs="Arial"/>
          <w:kern w:val="0"/>
          <w:sz w:val="21"/>
          <w:szCs w:val="21"/>
          <w14:ligatures w14:val="none"/>
        </w:rPr>
        <w:t>The trade finance gap is a major driver of global inequality.</w:t>
      </w:r>
    </w:p>
    <w:p w14:paraId="09080E15" w14:textId="77777777" w:rsidR="002979E3" w:rsidRPr="00740B2E" w:rsidRDefault="002979E3" w:rsidP="002979E3">
      <w:pPr>
        <w:numPr>
          <w:ilvl w:val="0"/>
          <w:numId w:val="4"/>
        </w:numPr>
        <w:spacing w:after="120" w:line="240" w:lineRule="auto"/>
        <w:rPr>
          <w:rFonts w:eastAsia="Times New Roman" w:cs="Arial"/>
          <w:kern w:val="0"/>
          <w:sz w:val="21"/>
          <w:szCs w:val="21"/>
          <w14:ligatures w14:val="none"/>
        </w:rPr>
      </w:pPr>
      <w:r w:rsidRPr="00740B2E">
        <w:rPr>
          <w:rFonts w:eastAsia="Times New Roman" w:cs="Arial"/>
          <w:b/>
          <w:bCs/>
          <w:kern w:val="0"/>
          <w:sz w:val="21"/>
          <w:szCs w:val="21"/>
          <w14:ligatures w14:val="none"/>
        </w:rPr>
        <w:t>The SME Burden:</w:t>
      </w:r>
      <w:r w:rsidRPr="00740B2E">
        <w:rPr>
          <w:rFonts w:eastAsia="Times New Roman" w:cs="Arial"/>
          <w:kern w:val="0"/>
          <w:sz w:val="21"/>
          <w:szCs w:val="21"/>
          <w14:ligatures w14:val="none"/>
        </w:rPr>
        <w:t> SMEs are the backbone of LMIC economies, providing over </w:t>
      </w:r>
      <w:r w:rsidRPr="00740B2E">
        <w:rPr>
          <w:rFonts w:eastAsia="Times New Roman" w:cs="Arial"/>
          <w:b/>
          <w:bCs/>
          <w:kern w:val="0"/>
          <w:sz w:val="21"/>
          <w:szCs w:val="21"/>
          <w14:ligatures w14:val="none"/>
        </w:rPr>
        <w:t>50% of employment</w:t>
      </w:r>
      <w:r w:rsidRPr="00740B2E">
        <w:rPr>
          <w:rFonts w:eastAsia="Times New Roman" w:cs="Arial"/>
          <w:kern w:val="0"/>
          <w:sz w:val="21"/>
          <w:szCs w:val="21"/>
          <w14:ligatures w14:val="none"/>
        </w:rPr>
        <w:t>. When they are denied trade finance, they cannot scale, leading to "empty shelves" and stalled job creation.</w:t>
      </w:r>
      <w:r>
        <w:rPr>
          <w:rFonts w:eastAsia="Times New Roman" w:cs="Arial"/>
          <w:kern w:val="0"/>
          <w:sz w:val="21"/>
          <w:szCs w:val="21"/>
          <w14:ligatures w14:val="none"/>
        </w:rPr>
        <w:t xml:space="preserve"> </w:t>
      </w:r>
      <w:r w:rsidRPr="00740B2E">
        <w:rPr>
          <w:rFonts w:eastAsia="Times New Roman" w:cs="Arial"/>
          <w:kern w:val="0"/>
          <w:sz w:val="21"/>
          <w:szCs w:val="21"/>
          <w14:ligatures w14:val="none"/>
        </w:rPr>
        <w:t>[</w:t>
      </w:r>
      <w:hyperlink r:id="rId11" w:tgtFrame="_blank" w:history="1">
        <w:r w:rsidRPr="00740B2E">
          <w:rPr>
            <w:rFonts w:eastAsia="Times New Roman" w:cs="Arial"/>
            <w:color w:val="2483E2"/>
            <w:kern w:val="0"/>
            <w:sz w:val="21"/>
            <w:szCs w:val="21"/>
            <w14:ligatures w14:val="none"/>
          </w:rPr>
          <w:t>10</w:t>
        </w:r>
      </w:hyperlink>
      <w:r w:rsidRPr="00740B2E">
        <w:rPr>
          <w:rFonts w:eastAsia="Times New Roman" w:cs="Arial"/>
          <w:kern w:val="0"/>
          <w:sz w:val="21"/>
          <w:szCs w:val="21"/>
          <w14:ligatures w14:val="none"/>
        </w:rPr>
        <w:t>]</w:t>
      </w:r>
    </w:p>
    <w:p w14:paraId="1510F34E" w14:textId="77777777" w:rsidR="002979E3" w:rsidRDefault="002979E3" w:rsidP="002979E3">
      <w:pPr>
        <w:numPr>
          <w:ilvl w:val="0"/>
          <w:numId w:val="4"/>
        </w:numPr>
        <w:spacing w:after="120" w:line="240" w:lineRule="auto"/>
        <w:rPr>
          <w:rFonts w:eastAsia="Times New Roman" w:cs="Arial"/>
          <w:kern w:val="0"/>
          <w:sz w:val="21"/>
          <w:szCs w:val="21"/>
          <w14:ligatures w14:val="none"/>
        </w:rPr>
      </w:pPr>
      <w:r w:rsidRPr="00740B2E">
        <w:rPr>
          <w:rFonts w:eastAsia="Times New Roman" w:cs="Arial"/>
          <w:b/>
          <w:bCs/>
          <w:kern w:val="0"/>
          <w:sz w:val="21"/>
          <w:szCs w:val="21"/>
          <w14:ligatures w14:val="none"/>
        </w:rPr>
        <w:t>Gender Gap:</w:t>
      </w:r>
      <w:r w:rsidRPr="00740B2E">
        <w:rPr>
          <w:rFonts w:eastAsia="Times New Roman" w:cs="Arial"/>
          <w:kern w:val="0"/>
          <w:sz w:val="21"/>
          <w:szCs w:val="21"/>
          <w14:ligatures w14:val="none"/>
        </w:rPr>
        <w:t> Women-led businesses face even steeper hurdles. Approximately </w:t>
      </w:r>
      <w:r w:rsidRPr="00740B2E">
        <w:rPr>
          <w:rFonts w:eastAsia="Times New Roman" w:cs="Arial"/>
          <w:b/>
          <w:bCs/>
          <w:kern w:val="0"/>
          <w:sz w:val="21"/>
          <w:szCs w:val="21"/>
          <w14:ligatures w14:val="none"/>
        </w:rPr>
        <w:t>70%</w:t>
      </w:r>
      <w:r w:rsidRPr="00740B2E">
        <w:rPr>
          <w:rFonts w:eastAsia="Times New Roman" w:cs="Arial"/>
          <w:kern w:val="0"/>
          <w:sz w:val="21"/>
          <w:szCs w:val="21"/>
          <w14:ligatures w14:val="none"/>
        </w:rPr>
        <w:t> of trade finance applications from women-owned firms are partially or fully rejected, often due to a lack of traditional collateral or biased risk assessments.</w:t>
      </w:r>
    </w:p>
    <w:p w14:paraId="069FEF70" w14:textId="3589163D" w:rsidR="004B6EDB" w:rsidRPr="004B6EDB" w:rsidRDefault="004B6EDB" w:rsidP="004B6EDB">
      <w:pPr>
        <w:pStyle w:val="ListParagraph"/>
        <w:numPr>
          <w:ilvl w:val="1"/>
          <w:numId w:val="4"/>
        </w:numPr>
        <w:spacing w:after="120" w:line="240" w:lineRule="auto"/>
        <w:ind w:left="270" w:hanging="270"/>
        <w:rPr>
          <w:rFonts w:eastAsia="Times New Roman" w:cs="Arial"/>
          <w:b/>
          <w:bCs/>
          <w:kern w:val="0"/>
          <w:sz w:val="27"/>
          <w:szCs w:val="27"/>
          <w14:ligatures w14:val="none"/>
        </w:rPr>
      </w:pPr>
      <w:r w:rsidRPr="004B6EDB">
        <w:rPr>
          <w:rFonts w:eastAsia="Times New Roman" w:cs="Arial"/>
          <w:b/>
          <w:bCs/>
          <w:kern w:val="0"/>
          <w:sz w:val="27"/>
          <w:szCs w:val="27"/>
          <w14:ligatures w14:val="none"/>
        </w:rPr>
        <w:t>Regional Breakdown</w:t>
      </w:r>
    </w:p>
    <w:p w14:paraId="3CAD7C00" w14:textId="73D0B881" w:rsidR="004B6EDB" w:rsidRPr="004B6EDB" w:rsidRDefault="004B6EDB" w:rsidP="004B6EDB">
      <w:pPr>
        <w:shd w:val="clear" w:color="auto" w:fill="FFFFFF"/>
        <w:spacing w:after="120" w:line="240" w:lineRule="auto"/>
        <w:outlineLvl w:val="2"/>
        <w:rPr>
          <w:rFonts w:eastAsia="Times New Roman" w:cs="Arial"/>
          <w:b/>
          <w:bCs/>
          <w:color w:val="1A1C1E"/>
          <w:kern w:val="0"/>
          <w:sz w:val="21"/>
          <w:szCs w:val="21"/>
          <w14:ligatures w14:val="none"/>
        </w:rPr>
      </w:pPr>
      <w:r>
        <w:rPr>
          <w:rFonts w:eastAsia="Times New Roman" w:cs="Arial"/>
          <w:b/>
          <w:bCs/>
          <w:color w:val="1A1C1E"/>
          <w:kern w:val="0"/>
          <w:sz w:val="21"/>
          <w:szCs w:val="21"/>
          <w14:ligatures w14:val="none"/>
        </w:rPr>
        <w:t>1</w:t>
      </w:r>
      <w:r w:rsidRPr="004B6EDB">
        <w:rPr>
          <w:rFonts w:eastAsia="Times New Roman" w:cs="Arial"/>
          <w:b/>
          <w:bCs/>
          <w:color w:val="1A1C1E"/>
          <w:kern w:val="0"/>
          <w:sz w:val="21"/>
          <w:szCs w:val="21"/>
          <w14:ligatures w14:val="none"/>
        </w:rPr>
        <w:t>. Asia: The Engine of Growth Facing Liquidity Strain</w:t>
      </w:r>
    </w:p>
    <w:p w14:paraId="667AD8B9" w14:textId="77777777" w:rsidR="004B6EDB" w:rsidRPr="004B6EDB" w:rsidRDefault="004B6EDB" w:rsidP="004B6EDB">
      <w:pPr>
        <w:shd w:val="clear" w:color="auto" w:fill="FFFFFF"/>
        <w:spacing w:after="120" w:line="240" w:lineRule="auto"/>
        <w:rPr>
          <w:rFonts w:eastAsia="Times New Roman" w:cs="Arial"/>
          <w:color w:val="1A1C1E"/>
          <w:kern w:val="0"/>
          <w:sz w:val="21"/>
          <w:szCs w:val="21"/>
          <w14:ligatures w14:val="none"/>
        </w:rPr>
      </w:pPr>
      <w:r w:rsidRPr="004B6EDB">
        <w:rPr>
          <w:rFonts w:eastAsia="Times New Roman" w:cs="Arial"/>
          <w:color w:val="1A1C1E"/>
          <w:kern w:val="0"/>
          <w:sz w:val="21"/>
          <w:szCs w:val="21"/>
          <w14:ligatures w14:val="none"/>
        </w:rPr>
        <w:t>Asia remains the dominant force in LMIC trade, yet it faces significant structural headwinds.</w:t>
      </w:r>
    </w:p>
    <w:p w14:paraId="11D9316A" w14:textId="7861B5C2" w:rsidR="004B6EDB" w:rsidRPr="004B6EDB" w:rsidRDefault="004B6EDB" w:rsidP="004B6EDB">
      <w:pPr>
        <w:numPr>
          <w:ilvl w:val="0"/>
          <w:numId w:val="7"/>
        </w:numPr>
        <w:shd w:val="clear" w:color="auto" w:fill="FFFFFF"/>
        <w:spacing w:after="120" w:line="240" w:lineRule="auto"/>
        <w:rPr>
          <w:rFonts w:eastAsia="Times New Roman" w:cs="Arial"/>
          <w:color w:val="1A1C1E"/>
          <w:kern w:val="0"/>
          <w:sz w:val="21"/>
          <w:szCs w:val="21"/>
          <w14:ligatures w14:val="none"/>
        </w:rPr>
      </w:pPr>
      <w:r w:rsidRPr="004B6EDB">
        <w:rPr>
          <w:rFonts w:eastAsia="Times New Roman" w:cs="Arial"/>
          <w:b/>
          <w:bCs/>
          <w:color w:val="1A1C1E"/>
          <w:kern w:val="0"/>
          <w:sz w:val="21"/>
          <w:szCs w:val="21"/>
          <w14:ligatures w14:val="none"/>
        </w:rPr>
        <w:t>Trade Volume:</w:t>
      </w:r>
      <w:r w:rsidRPr="004B6EDB">
        <w:rPr>
          <w:rFonts w:eastAsia="Times New Roman" w:cs="Arial"/>
          <w:color w:val="1A1C1E"/>
          <w:kern w:val="0"/>
          <w:sz w:val="21"/>
          <w:szCs w:val="21"/>
          <w14:ligatures w14:val="none"/>
        </w:rPr>
        <w:t> Asia accounts for over </w:t>
      </w:r>
      <w:r w:rsidRPr="004B6EDB">
        <w:rPr>
          <w:rFonts w:eastAsia="Times New Roman" w:cs="Arial"/>
          <w:b/>
          <w:bCs/>
          <w:color w:val="1A1C1E"/>
          <w:kern w:val="0"/>
          <w:sz w:val="21"/>
          <w:szCs w:val="21"/>
          <w14:ligatures w14:val="none"/>
        </w:rPr>
        <w:t>56% of Global South’s services exports</w:t>
      </w:r>
      <w:r w:rsidRPr="004B6EDB">
        <w:rPr>
          <w:rFonts w:eastAsia="Times New Roman" w:cs="Arial"/>
          <w:color w:val="1A1C1E"/>
          <w:kern w:val="0"/>
          <w:sz w:val="21"/>
          <w:szCs w:val="21"/>
          <w14:ligatures w14:val="none"/>
        </w:rPr>
        <w:t>. Intra-regional trade (e.g., within East Asia) grew at roughly 3.9% annually recently.</w:t>
      </w:r>
    </w:p>
    <w:p w14:paraId="54495AD1" w14:textId="016E36F1" w:rsidR="004B6EDB" w:rsidRPr="004B6EDB" w:rsidRDefault="004B6EDB" w:rsidP="004B6EDB">
      <w:pPr>
        <w:numPr>
          <w:ilvl w:val="0"/>
          <w:numId w:val="7"/>
        </w:numPr>
        <w:shd w:val="clear" w:color="auto" w:fill="FFFFFF"/>
        <w:spacing w:after="120" w:line="240" w:lineRule="auto"/>
        <w:rPr>
          <w:rFonts w:eastAsia="Times New Roman" w:cs="Arial"/>
          <w:color w:val="1A1C1E"/>
          <w:kern w:val="0"/>
          <w:sz w:val="21"/>
          <w:szCs w:val="21"/>
          <w14:ligatures w14:val="none"/>
        </w:rPr>
      </w:pPr>
      <w:r w:rsidRPr="004B6EDB">
        <w:rPr>
          <w:rFonts w:eastAsia="Times New Roman" w:cs="Arial"/>
          <w:b/>
          <w:bCs/>
          <w:color w:val="1A1C1E"/>
          <w:kern w:val="0"/>
          <w:sz w:val="21"/>
          <w:szCs w:val="21"/>
          <w14:ligatures w14:val="none"/>
        </w:rPr>
        <w:t>The Finance Gap:</w:t>
      </w:r>
      <w:r w:rsidRPr="004B6EDB">
        <w:rPr>
          <w:rFonts w:eastAsia="Times New Roman" w:cs="Arial"/>
          <w:color w:val="1A1C1E"/>
          <w:kern w:val="0"/>
          <w:sz w:val="21"/>
          <w:szCs w:val="21"/>
          <w14:ligatures w14:val="none"/>
        </w:rPr>
        <w:t> Despite high volumes, Asian banks reported a notable contraction in trade revenues in 2023 due to deleveraging. SME rejection rates in parts of South and Southeast Asia (like Cambodia and Laos) are extreme, with some regions seeing only </w:t>
      </w:r>
      <w:r w:rsidRPr="004B6EDB">
        <w:rPr>
          <w:rFonts w:eastAsia="Times New Roman" w:cs="Arial"/>
          <w:b/>
          <w:bCs/>
          <w:color w:val="1A1C1E"/>
          <w:kern w:val="0"/>
          <w:sz w:val="21"/>
          <w:szCs w:val="21"/>
          <w14:ligatures w14:val="none"/>
        </w:rPr>
        <w:t>3% of trade</w:t>
      </w:r>
      <w:r w:rsidRPr="004B6EDB">
        <w:rPr>
          <w:rFonts w:eastAsia="Times New Roman" w:cs="Arial"/>
          <w:color w:val="1A1C1E"/>
          <w:kern w:val="0"/>
          <w:sz w:val="21"/>
          <w:szCs w:val="21"/>
          <w14:ligatures w14:val="none"/>
        </w:rPr>
        <w:t> supported by formal finance.</w:t>
      </w:r>
      <w:r>
        <w:rPr>
          <w:rFonts w:eastAsia="Times New Roman" w:cs="Arial"/>
          <w:color w:val="1A1C1E"/>
          <w:kern w:val="0"/>
          <w:sz w:val="21"/>
          <w:szCs w:val="21"/>
          <w14:ligatures w14:val="none"/>
        </w:rPr>
        <w:t xml:space="preserve"> </w:t>
      </w:r>
      <w:r w:rsidRPr="004B6EDB">
        <w:rPr>
          <w:rFonts w:eastAsia="Times New Roman" w:cs="Arial"/>
          <w:color w:val="1A1C1E"/>
          <w:kern w:val="0"/>
          <w:sz w:val="21"/>
          <w:szCs w:val="21"/>
          <w14:ligatures w14:val="none"/>
        </w:rPr>
        <w:t>[</w:t>
      </w:r>
      <w:hyperlink r:id="rId12" w:tgtFrame="_blank" w:history="1">
        <w:r>
          <w:rPr>
            <w:rFonts w:eastAsia="Times New Roman" w:cs="Arial"/>
            <w:color w:val="2483E2"/>
            <w:kern w:val="0"/>
            <w:sz w:val="21"/>
            <w:szCs w:val="21"/>
            <w14:ligatures w14:val="none"/>
          </w:rPr>
          <w:t>3</w:t>
        </w:r>
      </w:hyperlink>
      <w:r w:rsidRPr="004B6EDB">
        <w:rPr>
          <w:rFonts w:eastAsia="Times New Roman" w:cs="Arial"/>
          <w:color w:val="1A1C1E"/>
          <w:kern w:val="0"/>
          <w:sz w:val="21"/>
          <w:szCs w:val="21"/>
          <w14:ligatures w14:val="none"/>
        </w:rPr>
        <w:t>]</w:t>
      </w:r>
    </w:p>
    <w:p w14:paraId="1D2DDD51" w14:textId="77777777" w:rsidR="004B6EDB" w:rsidRPr="004B6EDB" w:rsidRDefault="004B6EDB" w:rsidP="004B6EDB">
      <w:pPr>
        <w:numPr>
          <w:ilvl w:val="0"/>
          <w:numId w:val="7"/>
        </w:numPr>
        <w:shd w:val="clear" w:color="auto" w:fill="FFFFFF"/>
        <w:spacing w:after="120" w:line="240" w:lineRule="auto"/>
        <w:rPr>
          <w:rFonts w:eastAsia="Times New Roman" w:cs="Arial"/>
          <w:color w:val="1A1C1E"/>
          <w:kern w:val="0"/>
          <w:sz w:val="21"/>
          <w:szCs w:val="21"/>
          <w14:ligatures w14:val="none"/>
        </w:rPr>
      </w:pPr>
      <w:r w:rsidRPr="004B6EDB">
        <w:rPr>
          <w:rFonts w:eastAsia="Times New Roman" w:cs="Arial"/>
          <w:b/>
          <w:bCs/>
          <w:color w:val="1A1C1E"/>
          <w:kern w:val="0"/>
          <w:sz w:val="21"/>
          <w:szCs w:val="21"/>
          <w14:ligatures w14:val="none"/>
        </w:rPr>
        <w:t>Emerging Trends:</w:t>
      </w:r>
      <w:r w:rsidRPr="004B6EDB">
        <w:rPr>
          <w:rFonts w:eastAsia="Times New Roman" w:cs="Arial"/>
          <w:color w:val="1A1C1E"/>
          <w:kern w:val="0"/>
          <w:sz w:val="21"/>
          <w:szCs w:val="21"/>
          <w14:ligatures w14:val="none"/>
        </w:rPr>
        <w:t> There is a surge in </w:t>
      </w:r>
      <w:r w:rsidRPr="004B6EDB">
        <w:rPr>
          <w:rFonts w:eastAsia="Times New Roman" w:cs="Arial"/>
          <w:b/>
          <w:bCs/>
          <w:color w:val="1A1C1E"/>
          <w:kern w:val="0"/>
          <w:sz w:val="21"/>
          <w:szCs w:val="21"/>
          <w14:ligatures w14:val="none"/>
        </w:rPr>
        <w:t>local-currency financing</w:t>
      </w:r>
      <w:r w:rsidRPr="004B6EDB">
        <w:rPr>
          <w:rFonts w:eastAsia="Times New Roman" w:cs="Arial"/>
          <w:color w:val="1A1C1E"/>
          <w:kern w:val="0"/>
          <w:sz w:val="21"/>
          <w:szCs w:val="21"/>
          <w14:ligatures w14:val="none"/>
        </w:rPr>
        <w:t> (notably the Chinese Yuan) as a strategy to bypass U.S. dollar shortages and rising interest rates.</w:t>
      </w:r>
    </w:p>
    <w:p w14:paraId="03903AA8" w14:textId="0EAF332C" w:rsidR="004B6EDB" w:rsidRPr="004B6EDB" w:rsidRDefault="004B6EDB" w:rsidP="004B6EDB">
      <w:pPr>
        <w:shd w:val="clear" w:color="auto" w:fill="FFFFFF"/>
        <w:spacing w:after="120" w:line="240" w:lineRule="auto"/>
        <w:outlineLvl w:val="2"/>
        <w:rPr>
          <w:rFonts w:eastAsia="Times New Roman" w:cs="Arial"/>
          <w:b/>
          <w:bCs/>
          <w:color w:val="1A1C1E"/>
          <w:kern w:val="0"/>
          <w:sz w:val="21"/>
          <w:szCs w:val="21"/>
          <w14:ligatures w14:val="none"/>
        </w:rPr>
      </w:pPr>
      <w:r>
        <w:rPr>
          <w:rFonts w:eastAsia="Times New Roman" w:cs="Arial"/>
          <w:b/>
          <w:bCs/>
          <w:color w:val="1A1C1E"/>
          <w:kern w:val="0"/>
          <w:sz w:val="21"/>
          <w:szCs w:val="21"/>
          <w14:ligatures w14:val="none"/>
        </w:rPr>
        <w:t>2</w:t>
      </w:r>
      <w:r w:rsidRPr="004B6EDB">
        <w:rPr>
          <w:rFonts w:eastAsia="Times New Roman" w:cs="Arial"/>
          <w:b/>
          <w:bCs/>
          <w:color w:val="1A1C1E"/>
          <w:kern w:val="0"/>
          <w:sz w:val="21"/>
          <w:szCs w:val="21"/>
          <w14:ligatures w14:val="none"/>
        </w:rPr>
        <w:t>. Africa and the Middle East: Navigating Risk and Integration</w:t>
      </w:r>
    </w:p>
    <w:p w14:paraId="4F26E46B" w14:textId="77777777" w:rsidR="004B6EDB" w:rsidRPr="004B6EDB" w:rsidRDefault="004B6EDB" w:rsidP="004B6EDB">
      <w:pPr>
        <w:shd w:val="clear" w:color="auto" w:fill="FFFFFF"/>
        <w:spacing w:after="120" w:line="240" w:lineRule="auto"/>
        <w:rPr>
          <w:rFonts w:eastAsia="Times New Roman" w:cs="Arial"/>
          <w:color w:val="1A1C1E"/>
          <w:kern w:val="0"/>
          <w:sz w:val="21"/>
          <w:szCs w:val="21"/>
          <w14:ligatures w14:val="none"/>
        </w:rPr>
      </w:pPr>
      <w:r w:rsidRPr="004B6EDB">
        <w:rPr>
          <w:rFonts w:eastAsia="Times New Roman" w:cs="Arial"/>
          <w:color w:val="1A1C1E"/>
          <w:kern w:val="0"/>
          <w:sz w:val="21"/>
          <w:szCs w:val="21"/>
          <w14:ligatures w14:val="none"/>
        </w:rPr>
        <w:t>These regions are characterized by high potential but are severely hampered by "dollar liquidity" and high perceived risk.</w:t>
      </w:r>
    </w:p>
    <w:p w14:paraId="2215CF37" w14:textId="77777777" w:rsidR="004B6EDB" w:rsidRPr="004B6EDB" w:rsidRDefault="004B6EDB" w:rsidP="004B6EDB">
      <w:pPr>
        <w:numPr>
          <w:ilvl w:val="0"/>
          <w:numId w:val="8"/>
        </w:numPr>
        <w:shd w:val="clear" w:color="auto" w:fill="FFFFFF"/>
        <w:spacing w:after="120" w:line="240" w:lineRule="auto"/>
        <w:rPr>
          <w:rFonts w:eastAsia="Times New Roman" w:cs="Arial"/>
          <w:color w:val="1A1C1E"/>
          <w:kern w:val="0"/>
          <w:sz w:val="21"/>
          <w:szCs w:val="21"/>
          <w14:ligatures w14:val="none"/>
        </w:rPr>
      </w:pPr>
      <w:r w:rsidRPr="004B6EDB">
        <w:rPr>
          <w:rFonts w:eastAsia="Times New Roman" w:cs="Arial"/>
          <w:b/>
          <w:bCs/>
          <w:color w:val="1A1C1E"/>
          <w:kern w:val="0"/>
          <w:sz w:val="21"/>
          <w:szCs w:val="21"/>
          <w14:ligatures w14:val="none"/>
        </w:rPr>
        <w:t>Africa’s Gap:</w:t>
      </w:r>
      <w:r w:rsidRPr="004B6EDB">
        <w:rPr>
          <w:rFonts w:eastAsia="Times New Roman" w:cs="Arial"/>
          <w:color w:val="1A1C1E"/>
          <w:kern w:val="0"/>
          <w:sz w:val="21"/>
          <w:szCs w:val="21"/>
          <w14:ligatures w14:val="none"/>
        </w:rPr>
        <w:t> The regional trade finance gap for Africa is estimated at </w:t>
      </w:r>
      <w:r w:rsidRPr="004B6EDB">
        <w:rPr>
          <w:rFonts w:eastAsia="Times New Roman" w:cs="Arial"/>
          <w:b/>
          <w:bCs/>
          <w:color w:val="1A1C1E"/>
          <w:kern w:val="0"/>
          <w:sz w:val="21"/>
          <w:szCs w:val="21"/>
          <w14:ligatures w14:val="none"/>
        </w:rPr>
        <w:t>$81 billion</w:t>
      </w:r>
      <w:r w:rsidRPr="004B6EDB">
        <w:rPr>
          <w:rFonts w:eastAsia="Times New Roman" w:cs="Arial"/>
          <w:color w:val="1A1C1E"/>
          <w:kern w:val="0"/>
          <w:sz w:val="21"/>
          <w:szCs w:val="21"/>
          <w14:ligatures w14:val="none"/>
        </w:rPr>
        <w:t>.</w:t>
      </w:r>
    </w:p>
    <w:p w14:paraId="39BB2B80" w14:textId="77777777" w:rsidR="004B6EDB" w:rsidRPr="004B6EDB" w:rsidRDefault="004B6EDB" w:rsidP="004B6EDB">
      <w:pPr>
        <w:numPr>
          <w:ilvl w:val="1"/>
          <w:numId w:val="8"/>
        </w:numPr>
        <w:shd w:val="clear" w:color="auto" w:fill="FFFFFF"/>
        <w:tabs>
          <w:tab w:val="clear" w:pos="1440"/>
          <w:tab w:val="left" w:pos="990"/>
        </w:tabs>
        <w:spacing w:after="120" w:line="240" w:lineRule="auto"/>
        <w:ind w:left="990" w:hanging="270"/>
        <w:rPr>
          <w:rFonts w:eastAsia="Times New Roman" w:cs="Arial"/>
          <w:color w:val="1A1C1E"/>
          <w:kern w:val="0"/>
          <w:sz w:val="21"/>
          <w:szCs w:val="21"/>
          <w14:ligatures w14:val="none"/>
        </w:rPr>
      </w:pPr>
      <w:r w:rsidRPr="004B6EDB">
        <w:rPr>
          <w:rFonts w:eastAsia="Times New Roman" w:cs="Arial"/>
          <w:b/>
          <w:bCs/>
          <w:color w:val="1A1C1E"/>
          <w:kern w:val="0"/>
          <w:sz w:val="21"/>
          <w:szCs w:val="21"/>
          <w14:ligatures w14:val="none"/>
        </w:rPr>
        <w:t>USD Liquidity:</w:t>
      </w:r>
      <w:r w:rsidRPr="004B6EDB">
        <w:rPr>
          <w:rFonts w:eastAsia="Times New Roman" w:cs="Arial"/>
          <w:color w:val="1A1C1E"/>
          <w:kern w:val="0"/>
          <w:sz w:val="21"/>
          <w:szCs w:val="21"/>
          <w14:ligatures w14:val="none"/>
        </w:rPr>
        <w:t> Over a third of African banks cite limited access to U.S. dollars as their primary challenge.</w:t>
      </w:r>
    </w:p>
    <w:p w14:paraId="5C80A205" w14:textId="2F732195" w:rsidR="004B6EDB" w:rsidRPr="004B6EDB" w:rsidRDefault="004B6EDB" w:rsidP="004B6EDB">
      <w:pPr>
        <w:numPr>
          <w:ilvl w:val="1"/>
          <w:numId w:val="8"/>
        </w:numPr>
        <w:shd w:val="clear" w:color="auto" w:fill="FFFFFF"/>
        <w:tabs>
          <w:tab w:val="clear" w:pos="1440"/>
          <w:tab w:val="num" w:pos="990"/>
        </w:tabs>
        <w:spacing w:after="120" w:line="240" w:lineRule="auto"/>
        <w:ind w:hanging="720"/>
        <w:rPr>
          <w:rFonts w:eastAsia="Times New Roman" w:cs="Arial"/>
          <w:color w:val="1A1C1E"/>
          <w:kern w:val="0"/>
          <w:sz w:val="21"/>
          <w:szCs w:val="21"/>
          <w14:ligatures w14:val="none"/>
        </w:rPr>
      </w:pPr>
      <w:proofErr w:type="spellStart"/>
      <w:r w:rsidRPr="004B6EDB">
        <w:rPr>
          <w:rFonts w:eastAsia="Times New Roman" w:cs="Arial"/>
          <w:b/>
          <w:bCs/>
          <w:color w:val="1A1C1E"/>
          <w:kern w:val="0"/>
          <w:sz w:val="21"/>
          <w:szCs w:val="21"/>
          <w14:ligatures w14:val="none"/>
        </w:rPr>
        <w:t>AfCFTA</w:t>
      </w:r>
      <w:proofErr w:type="spellEnd"/>
      <w:r w:rsidRPr="004B6EDB">
        <w:rPr>
          <w:rFonts w:eastAsia="Times New Roman" w:cs="Arial"/>
          <w:b/>
          <w:bCs/>
          <w:color w:val="1A1C1E"/>
          <w:kern w:val="0"/>
          <w:sz w:val="21"/>
          <w:szCs w:val="21"/>
          <w14:ligatures w14:val="none"/>
        </w:rPr>
        <w:t xml:space="preserve"> Impact:</w:t>
      </w:r>
      <w:r w:rsidRPr="004B6EDB">
        <w:rPr>
          <w:rFonts w:eastAsia="Times New Roman" w:cs="Arial"/>
          <w:color w:val="1A1C1E"/>
          <w:kern w:val="0"/>
          <w:sz w:val="21"/>
          <w:szCs w:val="21"/>
          <w14:ligatures w14:val="none"/>
        </w:rPr>
        <w:t> The African Continental Free Trade Area (</w:t>
      </w:r>
      <w:proofErr w:type="spellStart"/>
      <w:r w:rsidRPr="004B6EDB">
        <w:rPr>
          <w:rFonts w:eastAsia="Times New Roman" w:cs="Arial"/>
          <w:color w:val="1A1C1E"/>
          <w:kern w:val="0"/>
          <w:sz w:val="21"/>
          <w:szCs w:val="21"/>
          <w14:ligatures w14:val="none"/>
        </w:rPr>
        <w:t>AfCFTA</w:t>
      </w:r>
      <w:proofErr w:type="spellEnd"/>
      <w:r w:rsidRPr="004B6EDB">
        <w:rPr>
          <w:rFonts w:eastAsia="Times New Roman" w:cs="Arial"/>
          <w:color w:val="1A1C1E"/>
          <w:kern w:val="0"/>
          <w:sz w:val="21"/>
          <w:szCs w:val="21"/>
          <w14:ligatures w14:val="none"/>
        </w:rPr>
        <w:t>) is a bright spot; intra-African trade grew by </w:t>
      </w:r>
      <w:r w:rsidRPr="004B6EDB">
        <w:rPr>
          <w:rFonts w:eastAsia="Times New Roman" w:cs="Arial"/>
          <w:b/>
          <w:bCs/>
          <w:color w:val="1A1C1E"/>
          <w:kern w:val="0"/>
          <w:sz w:val="21"/>
          <w:szCs w:val="21"/>
          <w14:ligatures w14:val="none"/>
        </w:rPr>
        <w:t>7.2% in 2023</w:t>
      </w:r>
      <w:r w:rsidRPr="004B6EDB">
        <w:rPr>
          <w:rFonts w:eastAsia="Times New Roman" w:cs="Arial"/>
          <w:color w:val="1A1C1E"/>
          <w:kern w:val="0"/>
          <w:sz w:val="21"/>
          <w:szCs w:val="21"/>
          <w14:ligatures w14:val="none"/>
        </w:rPr>
        <w:t>, reaching $192 billion.</w:t>
      </w:r>
      <w:r w:rsidR="00E12D64">
        <w:rPr>
          <w:rFonts w:eastAsia="Times New Roman" w:cs="Arial"/>
          <w:color w:val="1A1C1E"/>
          <w:kern w:val="0"/>
          <w:sz w:val="21"/>
          <w:szCs w:val="21"/>
          <w14:ligatures w14:val="none"/>
        </w:rPr>
        <w:t xml:space="preserve"> </w:t>
      </w:r>
      <w:r w:rsidRPr="004B6EDB">
        <w:rPr>
          <w:rFonts w:eastAsia="Times New Roman" w:cs="Arial"/>
          <w:color w:val="1A1C1E"/>
          <w:kern w:val="0"/>
          <w:sz w:val="21"/>
          <w:szCs w:val="21"/>
          <w14:ligatures w14:val="none"/>
        </w:rPr>
        <w:t>[</w:t>
      </w:r>
      <w:hyperlink r:id="rId13" w:tgtFrame="_blank" w:history="1">
        <w:r w:rsidR="006B3DC7">
          <w:rPr>
            <w:rFonts w:eastAsia="Times New Roman" w:cs="Arial"/>
            <w:color w:val="2483E2"/>
            <w:kern w:val="0"/>
            <w:sz w:val="21"/>
            <w:szCs w:val="21"/>
            <w14:ligatures w14:val="none"/>
          </w:rPr>
          <w:t>11</w:t>
        </w:r>
      </w:hyperlink>
      <w:r w:rsidRPr="004B6EDB">
        <w:rPr>
          <w:rFonts w:eastAsia="Times New Roman" w:cs="Arial"/>
          <w:color w:val="1A1C1E"/>
          <w:kern w:val="0"/>
          <w:sz w:val="21"/>
          <w:szCs w:val="21"/>
          <w14:ligatures w14:val="none"/>
        </w:rPr>
        <w:t>]</w:t>
      </w:r>
    </w:p>
    <w:p w14:paraId="4DD46F75" w14:textId="77777777" w:rsidR="004B6EDB" w:rsidRPr="004B6EDB" w:rsidRDefault="004B6EDB" w:rsidP="004B6EDB">
      <w:pPr>
        <w:numPr>
          <w:ilvl w:val="0"/>
          <w:numId w:val="8"/>
        </w:numPr>
        <w:shd w:val="clear" w:color="auto" w:fill="FFFFFF"/>
        <w:spacing w:after="120" w:line="240" w:lineRule="auto"/>
        <w:rPr>
          <w:rFonts w:eastAsia="Times New Roman" w:cs="Arial"/>
          <w:color w:val="1A1C1E"/>
          <w:kern w:val="0"/>
          <w:sz w:val="21"/>
          <w:szCs w:val="21"/>
          <w14:ligatures w14:val="none"/>
        </w:rPr>
      </w:pPr>
      <w:r w:rsidRPr="004B6EDB">
        <w:rPr>
          <w:rFonts w:eastAsia="Times New Roman" w:cs="Arial"/>
          <w:b/>
          <w:bCs/>
          <w:color w:val="1A1C1E"/>
          <w:kern w:val="0"/>
          <w:sz w:val="21"/>
          <w:szCs w:val="21"/>
          <w14:ligatures w14:val="none"/>
        </w:rPr>
        <w:lastRenderedPageBreak/>
        <w:t>Middle East &amp; North Africa (MENA):</w:t>
      </w:r>
    </w:p>
    <w:p w14:paraId="69C4CCF1" w14:textId="77777777" w:rsidR="004B6EDB" w:rsidRPr="004B6EDB" w:rsidRDefault="004B6EDB" w:rsidP="004B6EDB">
      <w:pPr>
        <w:numPr>
          <w:ilvl w:val="1"/>
          <w:numId w:val="8"/>
        </w:numPr>
        <w:shd w:val="clear" w:color="auto" w:fill="FFFFFF"/>
        <w:tabs>
          <w:tab w:val="clear" w:pos="1440"/>
          <w:tab w:val="num" w:pos="990"/>
        </w:tabs>
        <w:spacing w:after="120" w:line="240" w:lineRule="auto"/>
        <w:ind w:left="990" w:hanging="270"/>
        <w:rPr>
          <w:rFonts w:eastAsia="Times New Roman" w:cs="Arial"/>
          <w:color w:val="1A1C1E"/>
          <w:kern w:val="0"/>
          <w:sz w:val="21"/>
          <w:szCs w:val="21"/>
          <w14:ligatures w14:val="none"/>
        </w:rPr>
      </w:pPr>
      <w:r w:rsidRPr="004B6EDB">
        <w:rPr>
          <w:rFonts w:eastAsia="Times New Roman" w:cs="Arial"/>
          <w:b/>
          <w:bCs/>
          <w:color w:val="1A1C1E"/>
          <w:kern w:val="0"/>
          <w:sz w:val="21"/>
          <w:szCs w:val="21"/>
          <w14:ligatures w14:val="none"/>
        </w:rPr>
        <w:t>The "Paper" Barrier:</w:t>
      </w:r>
      <w:r w:rsidRPr="004B6EDB">
        <w:rPr>
          <w:rFonts w:eastAsia="Times New Roman" w:cs="Arial"/>
          <w:color w:val="1A1C1E"/>
          <w:kern w:val="0"/>
          <w:sz w:val="21"/>
          <w:szCs w:val="21"/>
          <w14:ligatures w14:val="none"/>
        </w:rPr>
        <w:t> The region remains heavily dependent on traditional "documentary" trade (Letters of Credit), which are manual and slow.</w:t>
      </w:r>
    </w:p>
    <w:p w14:paraId="3DF739E7" w14:textId="77777777" w:rsidR="004B6EDB" w:rsidRPr="004B6EDB" w:rsidRDefault="004B6EDB" w:rsidP="004B6EDB">
      <w:pPr>
        <w:numPr>
          <w:ilvl w:val="1"/>
          <w:numId w:val="8"/>
        </w:numPr>
        <w:shd w:val="clear" w:color="auto" w:fill="FFFFFF"/>
        <w:tabs>
          <w:tab w:val="clear" w:pos="1440"/>
          <w:tab w:val="num" w:pos="990"/>
        </w:tabs>
        <w:spacing w:after="120" w:line="240" w:lineRule="auto"/>
        <w:ind w:left="990" w:hanging="270"/>
        <w:rPr>
          <w:rFonts w:eastAsia="Times New Roman" w:cs="Arial"/>
          <w:color w:val="1A1C1E"/>
          <w:kern w:val="0"/>
          <w:sz w:val="21"/>
          <w:szCs w:val="21"/>
          <w14:ligatures w14:val="none"/>
        </w:rPr>
      </w:pPr>
      <w:r w:rsidRPr="004B6EDB">
        <w:rPr>
          <w:rFonts w:eastAsia="Times New Roman" w:cs="Arial"/>
          <w:b/>
          <w:bCs/>
          <w:color w:val="1A1C1E"/>
          <w:kern w:val="0"/>
          <w:sz w:val="21"/>
          <w:szCs w:val="21"/>
          <w14:ligatures w14:val="none"/>
        </w:rPr>
        <w:t>SME Rejections:</w:t>
      </w:r>
      <w:r w:rsidRPr="004B6EDB">
        <w:rPr>
          <w:rFonts w:eastAsia="Times New Roman" w:cs="Arial"/>
          <w:color w:val="1A1C1E"/>
          <w:kern w:val="0"/>
          <w:sz w:val="21"/>
          <w:szCs w:val="21"/>
          <w14:ligatures w14:val="none"/>
        </w:rPr>
        <w:t> While SMEs represent 95% of MENA businesses, they struggle to access conventional finance, prompting a shift toward </w:t>
      </w:r>
      <w:r w:rsidRPr="004B6EDB">
        <w:rPr>
          <w:rFonts w:eastAsia="Times New Roman" w:cs="Arial"/>
          <w:b/>
          <w:bCs/>
          <w:color w:val="1A1C1E"/>
          <w:kern w:val="0"/>
          <w:sz w:val="21"/>
          <w:szCs w:val="21"/>
          <w14:ligatures w14:val="none"/>
        </w:rPr>
        <w:t>Supply Chain Finance (SCF)</w:t>
      </w:r>
      <w:r w:rsidRPr="004B6EDB">
        <w:rPr>
          <w:rFonts w:eastAsia="Times New Roman" w:cs="Arial"/>
          <w:color w:val="1A1C1E"/>
          <w:kern w:val="0"/>
          <w:sz w:val="21"/>
          <w:szCs w:val="21"/>
          <w14:ligatures w14:val="none"/>
        </w:rPr>
        <w:t> and Islamic factoring.</w:t>
      </w:r>
    </w:p>
    <w:p w14:paraId="50753287" w14:textId="77777777" w:rsidR="004B6EDB" w:rsidRPr="004B6EDB" w:rsidRDefault="004B6EDB" w:rsidP="004B6EDB">
      <w:pPr>
        <w:numPr>
          <w:ilvl w:val="1"/>
          <w:numId w:val="8"/>
        </w:numPr>
        <w:shd w:val="clear" w:color="auto" w:fill="FFFFFF"/>
        <w:tabs>
          <w:tab w:val="clear" w:pos="1440"/>
          <w:tab w:val="left" w:pos="990"/>
        </w:tabs>
        <w:spacing w:after="120" w:line="240" w:lineRule="auto"/>
        <w:ind w:left="990" w:hanging="270"/>
        <w:rPr>
          <w:rFonts w:eastAsia="Times New Roman" w:cs="Arial"/>
          <w:color w:val="1A1C1E"/>
          <w:kern w:val="0"/>
          <w:sz w:val="21"/>
          <w:szCs w:val="21"/>
          <w14:ligatures w14:val="none"/>
        </w:rPr>
      </w:pPr>
      <w:r w:rsidRPr="004B6EDB">
        <w:rPr>
          <w:rFonts w:eastAsia="Times New Roman" w:cs="Arial"/>
          <w:b/>
          <w:bCs/>
          <w:color w:val="1A1C1E"/>
          <w:kern w:val="0"/>
          <w:sz w:val="21"/>
          <w:szCs w:val="21"/>
          <w14:ligatures w14:val="none"/>
        </w:rPr>
        <w:t>Geopolitical Shifts:</w:t>
      </w:r>
      <w:r w:rsidRPr="004B6EDB">
        <w:rPr>
          <w:rFonts w:eastAsia="Times New Roman" w:cs="Arial"/>
          <w:color w:val="1A1C1E"/>
          <w:kern w:val="0"/>
          <w:sz w:val="21"/>
          <w:szCs w:val="21"/>
          <w14:ligatures w14:val="none"/>
        </w:rPr>
        <w:t> Trade with China and India now accounts for 23% of the region’s trade, while the share of European trade has nearly halved since the 1990s.</w:t>
      </w:r>
    </w:p>
    <w:p w14:paraId="3B203631" w14:textId="3E6CC887" w:rsidR="004B6EDB" w:rsidRPr="004B6EDB" w:rsidRDefault="004B6EDB" w:rsidP="004B6EDB">
      <w:pPr>
        <w:shd w:val="clear" w:color="auto" w:fill="FFFFFF"/>
        <w:spacing w:after="120" w:line="240" w:lineRule="auto"/>
        <w:outlineLvl w:val="2"/>
        <w:rPr>
          <w:rFonts w:eastAsia="Times New Roman" w:cs="Arial"/>
          <w:b/>
          <w:bCs/>
          <w:color w:val="1A1C1E"/>
          <w:kern w:val="0"/>
          <w:sz w:val="21"/>
          <w:szCs w:val="21"/>
          <w14:ligatures w14:val="none"/>
        </w:rPr>
      </w:pPr>
      <w:r>
        <w:rPr>
          <w:rFonts w:eastAsia="Times New Roman" w:cs="Arial"/>
          <w:b/>
          <w:bCs/>
          <w:color w:val="1A1C1E"/>
          <w:kern w:val="0"/>
          <w:sz w:val="21"/>
          <w:szCs w:val="21"/>
          <w14:ligatures w14:val="none"/>
        </w:rPr>
        <w:t>3</w:t>
      </w:r>
      <w:r w:rsidRPr="004B6EDB">
        <w:rPr>
          <w:rFonts w:eastAsia="Times New Roman" w:cs="Arial"/>
          <w:b/>
          <w:bCs/>
          <w:color w:val="1A1C1E"/>
          <w:kern w:val="0"/>
          <w:sz w:val="21"/>
          <w:szCs w:val="21"/>
          <w14:ligatures w14:val="none"/>
        </w:rPr>
        <w:t>. Central, Latin America, and the Caribbean: High Complexity</w:t>
      </w:r>
    </w:p>
    <w:p w14:paraId="5DCBC4C6" w14:textId="77777777" w:rsidR="004B6EDB" w:rsidRPr="004B6EDB" w:rsidRDefault="004B6EDB" w:rsidP="004B6EDB">
      <w:pPr>
        <w:shd w:val="clear" w:color="auto" w:fill="FFFFFF"/>
        <w:spacing w:after="120" w:line="240" w:lineRule="auto"/>
        <w:rPr>
          <w:rFonts w:eastAsia="Times New Roman" w:cs="Arial"/>
          <w:color w:val="1A1C1E"/>
          <w:kern w:val="0"/>
          <w:sz w:val="21"/>
          <w:szCs w:val="21"/>
          <w14:ligatures w14:val="none"/>
        </w:rPr>
      </w:pPr>
      <w:r w:rsidRPr="004B6EDB">
        <w:rPr>
          <w:rFonts w:eastAsia="Times New Roman" w:cs="Arial"/>
          <w:color w:val="1A1C1E"/>
          <w:kern w:val="0"/>
          <w:sz w:val="21"/>
          <w:szCs w:val="21"/>
          <w14:ligatures w14:val="none"/>
        </w:rPr>
        <w:t>This region is seeing a rebound in export volumes but faces a systemic withdrawal of international financial support.</w:t>
      </w:r>
    </w:p>
    <w:p w14:paraId="6D48CB00" w14:textId="77777777" w:rsidR="004B6EDB" w:rsidRPr="004B6EDB" w:rsidRDefault="004B6EDB" w:rsidP="004B6EDB">
      <w:pPr>
        <w:numPr>
          <w:ilvl w:val="0"/>
          <w:numId w:val="9"/>
        </w:numPr>
        <w:shd w:val="clear" w:color="auto" w:fill="FFFFFF"/>
        <w:spacing w:after="120" w:line="240" w:lineRule="auto"/>
        <w:rPr>
          <w:rFonts w:eastAsia="Times New Roman" w:cs="Arial"/>
          <w:color w:val="1A1C1E"/>
          <w:kern w:val="0"/>
          <w:sz w:val="21"/>
          <w:szCs w:val="21"/>
          <w14:ligatures w14:val="none"/>
        </w:rPr>
      </w:pPr>
      <w:r w:rsidRPr="004B6EDB">
        <w:rPr>
          <w:rFonts w:eastAsia="Times New Roman" w:cs="Arial"/>
          <w:b/>
          <w:bCs/>
          <w:color w:val="1A1C1E"/>
          <w:kern w:val="0"/>
          <w:sz w:val="21"/>
          <w:szCs w:val="21"/>
          <w14:ligatures w14:val="none"/>
        </w:rPr>
        <w:t>Trade Landscape:</w:t>
      </w:r>
      <w:r w:rsidRPr="004B6EDB">
        <w:rPr>
          <w:rFonts w:eastAsia="Times New Roman" w:cs="Arial"/>
          <w:color w:val="1A1C1E"/>
          <w:kern w:val="0"/>
          <w:sz w:val="21"/>
          <w:szCs w:val="21"/>
          <w14:ligatures w14:val="none"/>
        </w:rPr>
        <w:t> LAC exports rebounded by an estimated </w:t>
      </w:r>
      <w:r w:rsidRPr="004B6EDB">
        <w:rPr>
          <w:rFonts w:eastAsia="Times New Roman" w:cs="Arial"/>
          <w:b/>
          <w:bCs/>
          <w:color w:val="1A1C1E"/>
          <w:kern w:val="0"/>
          <w:sz w:val="21"/>
          <w:szCs w:val="21"/>
          <w14:ligatures w14:val="none"/>
        </w:rPr>
        <w:t>3.2% to 4% in 2024</w:t>
      </w:r>
      <w:r w:rsidRPr="004B6EDB">
        <w:rPr>
          <w:rFonts w:eastAsia="Times New Roman" w:cs="Arial"/>
          <w:color w:val="1A1C1E"/>
          <w:kern w:val="0"/>
          <w:sz w:val="21"/>
          <w:szCs w:val="21"/>
          <w14:ligatures w14:val="none"/>
        </w:rPr>
        <w:t> after a contraction in 2023. Mexico and South American agriculture (soybeans, beef) remain strong drivers.</w:t>
      </w:r>
    </w:p>
    <w:p w14:paraId="1CA0AE7F" w14:textId="7F6F0113" w:rsidR="004B6EDB" w:rsidRPr="004B6EDB" w:rsidRDefault="004B6EDB" w:rsidP="004B6EDB">
      <w:pPr>
        <w:numPr>
          <w:ilvl w:val="0"/>
          <w:numId w:val="9"/>
        </w:numPr>
        <w:shd w:val="clear" w:color="auto" w:fill="FFFFFF"/>
        <w:spacing w:after="120" w:line="240" w:lineRule="auto"/>
        <w:rPr>
          <w:rFonts w:eastAsia="Times New Roman" w:cs="Arial"/>
          <w:color w:val="1A1C1E"/>
          <w:kern w:val="0"/>
          <w:sz w:val="21"/>
          <w:szCs w:val="21"/>
          <w14:ligatures w14:val="none"/>
        </w:rPr>
      </w:pPr>
      <w:r w:rsidRPr="004B6EDB">
        <w:rPr>
          <w:rFonts w:eastAsia="Times New Roman" w:cs="Arial"/>
          <w:b/>
          <w:bCs/>
          <w:color w:val="1A1C1E"/>
          <w:kern w:val="0"/>
          <w:sz w:val="21"/>
          <w:szCs w:val="21"/>
          <w14:ligatures w14:val="none"/>
        </w:rPr>
        <w:t>The Caribbean Crisis:</w:t>
      </w:r>
      <w:r w:rsidRPr="004B6EDB">
        <w:rPr>
          <w:rFonts w:eastAsia="Times New Roman" w:cs="Arial"/>
          <w:color w:val="1A1C1E"/>
          <w:kern w:val="0"/>
          <w:sz w:val="21"/>
          <w:szCs w:val="21"/>
          <w14:ligatures w14:val="none"/>
        </w:rPr>
        <w:t> Over the past 15 years, </w:t>
      </w:r>
      <w:r w:rsidRPr="004B6EDB">
        <w:rPr>
          <w:rFonts w:eastAsia="Times New Roman" w:cs="Arial"/>
          <w:b/>
          <w:bCs/>
          <w:color w:val="1A1C1E"/>
          <w:kern w:val="0"/>
          <w:sz w:val="21"/>
          <w:szCs w:val="21"/>
          <w14:ligatures w14:val="none"/>
        </w:rPr>
        <w:t>40% of correspondent banks</w:t>
      </w:r>
      <w:r w:rsidRPr="004B6EDB">
        <w:rPr>
          <w:rFonts w:eastAsia="Times New Roman" w:cs="Arial"/>
          <w:color w:val="1A1C1E"/>
          <w:kern w:val="0"/>
          <w:sz w:val="21"/>
          <w:szCs w:val="21"/>
          <w14:ligatures w14:val="none"/>
        </w:rPr>
        <w:t> have withdrawn from the Caribbean.</w:t>
      </w:r>
      <w:r>
        <w:rPr>
          <w:rFonts w:eastAsia="Times New Roman" w:cs="Arial"/>
          <w:color w:val="1A1C1E"/>
          <w:kern w:val="0"/>
          <w:sz w:val="21"/>
          <w:szCs w:val="21"/>
          <w14:ligatures w14:val="none"/>
        </w:rPr>
        <w:t xml:space="preserve"> </w:t>
      </w:r>
      <w:r w:rsidRPr="004B6EDB">
        <w:rPr>
          <w:rFonts w:eastAsia="Times New Roman" w:cs="Arial"/>
          <w:color w:val="1A1C1E"/>
          <w:kern w:val="0"/>
          <w:sz w:val="21"/>
          <w:szCs w:val="21"/>
          <w14:ligatures w14:val="none"/>
        </w:rPr>
        <w:t>[</w:t>
      </w:r>
      <w:r w:rsidR="006B3DC7">
        <w:rPr>
          <w:rFonts w:eastAsia="Times New Roman" w:cs="Arial"/>
          <w:color w:val="1A1C1E"/>
          <w:kern w:val="0"/>
          <w:sz w:val="21"/>
          <w:szCs w:val="21"/>
          <w14:ligatures w14:val="none"/>
        </w:rPr>
        <w:t>1</w:t>
      </w:r>
      <w:hyperlink r:id="rId14" w:tgtFrame="_blank" w:history="1">
        <w:r w:rsidRPr="004B6EDB">
          <w:rPr>
            <w:rFonts w:eastAsia="Times New Roman" w:cs="Arial"/>
            <w:color w:val="2483E2"/>
            <w:kern w:val="0"/>
            <w:sz w:val="21"/>
            <w:szCs w:val="21"/>
            <w14:ligatures w14:val="none"/>
          </w:rPr>
          <w:t>2</w:t>
        </w:r>
      </w:hyperlink>
      <w:r w:rsidRPr="004B6EDB">
        <w:rPr>
          <w:rFonts w:eastAsia="Times New Roman" w:cs="Arial"/>
          <w:color w:val="1A1C1E"/>
          <w:kern w:val="0"/>
          <w:sz w:val="21"/>
          <w:szCs w:val="21"/>
          <w14:ligatures w14:val="none"/>
        </w:rPr>
        <w:t>] This "de-risking" has crippled the region's access to international credit, making it one of the hardest places for an SME to finance an export.</w:t>
      </w:r>
    </w:p>
    <w:p w14:paraId="5B52FC67" w14:textId="77777777" w:rsidR="004B6EDB" w:rsidRPr="004B6EDB" w:rsidRDefault="004B6EDB" w:rsidP="004B6EDB">
      <w:pPr>
        <w:numPr>
          <w:ilvl w:val="0"/>
          <w:numId w:val="9"/>
        </w:numPr>
        <w:shd w:val="clear" w:color="auto" w:fill="FFFFFF"/>
        <w:spacing w:after="120" w:line="240" w:lineRule="auto"/>
        <w:rPr>
          <w:rFonts w:eastAsia="Times New Roman" w:cs="Arial"/>
          <w:color w:val="1A1C1E"/>
          <w:kern w:val="0"/>
          <w:sz w:val="21"/>
          <w:szCs w:val="21"/>
          <w14:ligatures w14:val="none"/>
        </w:rPr>
      </w:pPr>
      <w:r w:rsidRPr="004B6EDB">
        <w:rPr>
          <w:rFonts w:eastAsia="Times New Roman" w:cs="Arial"/>
          <w:b/>
          <w:bCs/>
          <w:color w:val="1A1C1E"/>
          <w:kern w:val="0"/>
          <w:sz w:val="21"/>
          <w:szCs w:val="21"/>
          <w14:ligatures w14:val="none"/>
        </w:rPr>
        <w:t>Collection Complexity:</w:t>
      </w:r>
      <w:r w:rsidRPr="004B6EDB">
        <w:rPr>
          <w:rFonts w:eastAsia="Times New Roman" w:cs="Arial"/>
          <w:color w:val="1A1C1E"/>
          <w:kern w:val="0"/>
          <w:sz w:val="21"/>
          <w:szCs w:val="21"/>
          <w14:ligatures w14:val="none"/>
        </w:rPr>
        <w:t> Exporters in major LMICs like Brazil, Peru, and Colombia face "Very High" debt collection complexity due to fragmented legal systems and insolvency proceedings, further deterring lenders.</w:t>
      </w:r>
    </w:p>
    <w:p w14:paraId="5DA5DB96" w14:textId="67FA9A02" w:rsidR="004B6EDB" w:rsidRPr="004B6EDB" w:rsidRDefault="004B6EDB" w:rsidP="004B6EDB">
      <w:pPr>
        <w:numPr>
          <w:ilvl w:val="0"/>
          <w:numId w:val="9"/>
        </w:numPr>
        <w:shd w:val="clear" w:color="auto" w:fill="FFFFFF"/>
        <w:spacing w:after="120" w:line="240" w:lineRule="auto"/>
        <w:rPr>
          <w:rFonts w:eastAsia="Times New Roman" w:cs="Arial"/>
          <w:color w:val="1A1C1E"/>
          <w:kern w:val="0"/>
          <w:sz w:val="21"/>
          <w:szCs w:val="21"/>
          <w14:ligatures w14:val="none"/>
        </w:rPr>
      </w:pPr>
      <w:r w:rsidRPr="004B6EDB">
        <w:rPr>
          <w:rFonts w:eastAsia="Times New Roman" w:cs="Arial"/>
          <w:b/>
          <w:bCs/>
          <w:color w:val="1A1C1E"/>
          <w:kern w:val="0"/>
          <w:sz w:val="21"/>
          <w:szCs w:val="21"/>
          <w14:ligatures w14:val="none"/>
        </w:rPr>
        <w:t>Finance Trends:</w:t>
      </w:r>
      <w:r w:rsidRPr="004B6EDB">
        <w:rPr>
          <w:rFonts w:eastAsia="Times New Roman" w:cs="Arial"/>
          <w:color w:val="1A1C1E"/>
          <w:kern w:val="0"/>
          <w:sz w:val="21"/>
          <w:szCs w:val="21"/>
          <w14:ligatures w14:val="none"/>
        </w:rPr>
        <w:t> The region is pivoting toward </w:t>
      </w:r>
      <w:r w:rsidRPr="004B6EDB">
        <w:rPr>
          <w:rFonts w:eastAsia="Times New Roman" w:cs="Arial"/>
          <w:b/>
          <w:bCs/>
          <w:color w:val="1A1C1E"/>
          <w:kern w:val="0"/>
          <w:sz w:val="21"/>
          <w:szCs w:val="21"/>
          <w14:ligatures w14:val="none"/>
        </w:rPr>
        <w:t>GSSS (Green, Social, Sustainability, and Sustainability-linked) bonds</w:t>
      </w:r>
      <w:r w:rsidRPr="004B6EDB">
        <w:rPr>
          <w:rFonts w:eastAsia="Times New Roman" w:cs="Arial"/>
          <w:color w:val="1A1C1E"/>
          <w:kern w:val="0"/>
          <w:sz w:val="21"/>
          <w:szCs w:val="21"/>
          <w14:ligatures w14:val="none"/>
        </w:rPr>
        <w:t>, which reached $33.1 billion in 2024, to attract climate-conscious investors.</w:t>
      </w:r>
    </w:p>
    <w:p w14:paraId="4652A93D" w14:textId="72DBCCAC" w:rsidR="002979E3" w:rsidRPr="00740B2E" w:rsidRDefault="004B6EDB" w:rsidP="002979E3">
      <w:pPr>
        <w:spacing w:after="240" w:line="240" w:lineRule="auto"/>
        <w:outlineLvl w:val="1"/>
        <w:rPr>
          <w:rFonts w:eastAsia="Times New Roman" w:cs="Times New Roman"/>
          <w:b/>
          <w:bCs/>
          <w:kern w:val="0"/>
          <w:sz w:val="27"/>
          <w:szCs w:val="27"/>
          <w14:ligatures w14:val="none"/>
        </w:rPr>
      </w:pPr>
      <w:r w:rsidRPr="004B6EDB">
        <w:rPr>
          <w:rFonts w:eastAsia="Times New Roman" w:cs="Times New Roman"/>
          <w:b/>
          <w:bCs/>
          <w:kern w:val="0"/>
          <w:sz w:val="27"/>
          <w:szCs w:val="27"/>
          <w14:ligatures w14:val="none"/>
        </w:rPr>
        <w:t>7</w:t>
      </w:r>
      <w:r w:rsidR="002979E3" w:rsidRPr="00740B2E">
        <w:rPr>
          <w:rFonts w:eastAsia="Times New Roman" w:cs="Times New Roman"/>
          <w:b/>
          <w:bCs/>
          <w:kern w:val="0"/>
          <w:sz w:val="27"/>
          <w:szCs w:val="27"/>
          <w14:ligatures w14:val="none"/>
        </w:rPr>
        <w:t>. Strategic Solutions and the Path Forward</w:t>
      </w:r>
    </w:p>
    <w:p w14:paraId="6C3361F3" w14:textId="77777777" w:rsidR="002979E3" w:rsidRPr="00740B2E" w:rsidRDefault="002979E3" w:rsidP="002979E3">
      <w:pPr>
        <w:spacing w:after="120" w:line="240" w:lineRule="auto"/>
        <w:rPr>
          <w:rFonts w:eastAsia="Times New Roman" w:cs="Arial"/>
          <w:kern w:val="0"/>
          <w:sz w:val="21"/>
          <w:szCs w:val="21"/>
          <w14:ligatures w14:val="none"/>
        </w:rPr>
      </w:pPr>
      <w:r w:rsidRPr="00740B2E">
        <w:rPr>
          <w:rFonts w:eastAsia="Times New Roman" w:cs="Arial"/>
          <w:kern w:val="0"/>
          <w:sz w:val="21"/>
          <w:szCs w:val="21"/>
          <w14:ligatures w14:val="none"/>
        </w:rPr>
        <w:t>To bridge the $2.5 trillion gap, international organizations (ADB, WTO, ICC) are advocating for three primary interventions:</w:t>
      </w:r>
    </w:p>
    <w:p w14:paraId="0A418A7C" w14:textId="77777777" w:rsidR="002979E3" w:rsidRPr="00740B2E" w:rsidRDefault="002979E3" w:rsidP="002979E3">
      <w:pPr>
        <w:numPr>
          <w:ilvl w:val="0"/>
          <w:numId w:val="5"/>
        </w:numPr>
        <w:spacing w:after="120" w:line="240" w:lineRule="auto"/>
        <w:rPr>
          <w:rFonts w:eastAsia="Times New Roman" w:cs="Arial"/>
          <w:kern w:val="0"/>
          <w:sz w:val="21"/>
          <w:szCs w:val="21"/>
          <w14:ligatures w14:val="none"/>
        </w:rPr>
      </w:pPr>
      <w:r w:rsidRPr="00740B2E">
        <w:rPr>
          <w:rFonts w:eastAsia="Times New Roman" w:cs="Arial"/>
          <w:b/>
          <w:bCs/>
          <w:kern w:val="0"/>
          <w:sz w:val="21"/>
          <w:szCs w:val="21"/>
          <w14:ligatures w14:val="none"/>
        </w:rPr>
        <w:t>Digitalization &amp; TradeTech:</w:t>
      </w:r>
      <w:r w:rsidRPr="00740B2E">
        <w:rPr>
          <w:rFonts w:eastAsia="Times New Roman" w:cs="Arial"/>
          <w:kern w:val="0"/>
          <w:sz w:val="21"/>
          <w:szCs w:val="21"/>
          <w14:ligatures w14:val="none"/>
        </w:rPr>
        <w:t> Implementing the </w:t>
      </w:r>
      <w:r w:rsidRPr="00740B2E">
        <w:rPr>
          <w:rFonts w:eastAsia="Times New Roman" w:cs="Arial"/>
          <w:b/>
          <w:bCs/>
          <w:kern w:val="0"/>
          <w:sz w:val="21"/>
          <w:szCs w:val="21"/>
          <w14:ligatures w14:val="none"/>
        </w:rPr>
        <w:t>Digital Standards Initiative (DSI)</w:t>
      </w:r>
      <w:r w:rsidRPr="00740B2E">
        <w:rPr>
          <w:rFonts w:eastAsia="Times New Roman" w:cs="Arial"/>
          <w:kern w:val="0"/>
          <w:sz w:val="21"/>
          <w:szCs w:val="21"/>
          <w14:ligatures w14:val="none"/>
        </w:rPr>
        <w:t> to move from paper to electronic bills of lading. Digital footprints allow banks to use real-time transaction data rather than static credit scores to approve loans.</w:t>
      </w:r>
    </w:p>
    <w:p w14:paraId="0F6A7D68" w14:textId="77777777" w:rsidR="002979E3" w:rsidRPr="00740B2E" w:rsidRDefault="002979E3" w:rsidP="002979E3">
      <w:pPr>
        <w:numPr>
          <w:ilvl w:val="0"/>
          <w:numId w:val="5"/>
        </w:numPr>
        <w:spacing w:after="120" w:line="240" w:lineRule="auto"/>
        <w:rPr>
          <w:rFonts w:eastAsia="Times New Roman" w:cs="Arial"/>
          <w:kern w:val="0"/>
          <w:sz w:val="21"/>
          <w:szCs w:val="21"/>
          <w14:ligatures w14:val="none"/>
        </w:rPr>
      </w:pPr>
      <w:r w:rsidRPr="00740B2E">
        <w:rPr>
          <w:rFonts w:eastAsia="Times New Roman" w:cs="Arial"/>
          <w:b/>
          <w:bCs/>
          <w:kern w:val="0"/>
          <w:sz w:val="21"/>
          <w:szCs w:val="21"/>
          <w14:ligatures w14:val="none"/>
        </w:rPr>
        <w:t>Supply Chain Finance (SCF):</w:t>
      </w:r>
      <w:r w:rsidRPr="00740B2E">
        <w:rPr>
          <w:rFonts w:eastAsia="Times New Roman" w:cs="Arial"/>
          <w:kern w:val="0"/>
          <w:sz w:val="21"/>
          <w:szCs w:val="21"/>
          <w14:ligatures w14:val="none"/>
        </w:rPr>
        <w:t> Encouraging models where small suppliers can borrow against the credit strength of their large, multinational buyers. This "deep-tier" financing pushes liquidity further down the supply chain to the smallest producers.</w:t>
      </w:r>
    </w:p>
    <w:p w14:paraId="0359C7C4" w14:textId="77777777" w:rsidR="002979E3" w:rsidRPr="00740B2E" w:rsidRDefault="002979E3" w:rsidP="002979E3">
      <w:pPr>
        <w:numPr>
          <w:ilvl w:val="0"/>
          <w:numId w:val="5"/>
        </w:numPr>
        <w:spacing w:after="120" w:line="240" w:lineRule="auto"/>
        <w:rPr>
          <w:rFonts w:eastAsia="Times New Roman" w:cs="Arial"/>
          <w:kern w:val="0"/>
          <w:sz w:val="21"/>
          <w:szCs w:val="21"/>
          <w14:ligatures w14:val="none"/>
        </w:rPr>
      </w:pPr>
      <w:r w:rsidRPr="00740B2E">
        <w:rPr>
          <w:rFonts w:eastAsia="Times New Roman" w:cs="Arial"/>
          <w:b/>
          <w:bCs/>
          <w:kern w:val="0"/>
          <w:sz w:val="21"/>
          <w:szCs w:val="21"/>
          <w14:ligatures w14:val="none"/>
        </w:rPr>
        <w:t>Multilateral Support:</w:t>
      </w:r>
      <w:r w:rsidRPr="00740B2E">
        <w:rPr>
          <w:rFonts w:eastAsia="Times New Roman" w:cs="Arial"/>
          <w:kern w:val="0"/>
          <w:sz w:val="21"/>
          <w:szCs w:val="21"/>
          <w14:ligatures w14:val="none"/>
        </w:rPr>
        <w:t> Expanding programs like the ADB’s </w:t>
      </w:r>
      <w:r w:rsidRPr="00740B2E">
        <w:rPr>
          <w:rFonts w:eastAsia="Times New Roman" w:cs="Arial"/>
          <w:b/>
          <w:bCs/>
          <w:kern w:val="0"/>
          <w:sz w:val="21"/>
          <w:szCs w:val="21"/>
          <w14:ligatures w14:val="none"/>
        </w:rPr>
        <w:t>Trade and Supply Chain Finance Program (TSCFP)</w:t>
      </w:r>
      <w:r w:rsidRPr="00740B2E">
        <w:rPr>
          <w:rFonts w:eastAsia="Times New Roman" w:cs="Arial"/>
          <w:kern w:val="0"/>
          <w:sz w:val="21"/>
          <w:szCs w:val="21"/>
          <w14:ligatures w14:val="none"/>
        </w:rPr>
        <w:t>, which provides guarantees to local banks in LMICs, taking on the risk that private banks are unwilling to touch.</w:t>
      </w:r>
    </w:p>
    <w:p w14:paraId="26515A89" w14:textId="77777777" w:rsidR="002979E3" w:rsidRPr="00740B2E" w:rsidRDefault="002979E3" w:rsidP="002979E3">
      <w:pPr>
        <w:numPr>
          <w:ilvl w:val="0"/>
          <w:numId w:val="5"/>
        </w:numPr>
        <w:spacing w:after="120" w:line="240" w:lineRule="auto"/>
        <w:rPr>
          <w:rFonts w:eastAsia="Times New Roman" w:cs="Arial"/>
          <w:kern w:val="0"/>
          <w:sz w:val="21"/>
          <w:szCs w:val="21"/>
          <w14:ligatures w14:val="none"/>
        </w:rPr>
      </w:pPr>
      <w:r w:rsidRPr="00740B2E">
        <w:rPr>
          <w:rFonts w:eastAsia="Times New Roman" w:cs="Arial"/>
          <w:b/>
          <w:bCs/>
          <w:kern w:val="0"/>
          <w:sz w:val="21"/>
          <w:szCs w:val="21"/>
          <w14:ligatures w14:val="none"/>
        </w:rPr>
        <w:t>Local Currency Settlement:</w:t>
      </w:r>
      <w:r w:rsidRPr="00740B2E">
        <w:rPr>
          <w:rFonts w:eastAsia="Times New Roman" w:cs="Arial"/>
          <w:kern w:val="0"/>
          <w:sz w:val="21"/>
          <w:szCs w:val="21"/>
          <w14:ligatures w14:val="none"/>
        </w:rPr>
        <w:t> Reducing reliance on the U.S. Dollar by promoting trade in local currencies or alternative baskets (e.g., within the BRICS+ framework) to mitigate exchange rate volatility.</w:t>
      </w:r>
    </w:p>
    <w:p w14:paraId="1A0AF351" w14:textId="77777777" w:rsidR="002979E3" w:rsidRPr="00740B2E" w:rsidRDefault="002979E3" w:rsidP="002979E3">
      <w:pPr>
        <w:spacing w:after="240" w:line="240" w:lineRule="auto"/>
        <w:outlineLvl w:val="1"/>
        <w:rPr>
          <w:rFonts w:eastAsia="Times New Roman" w:cs="Times New Roman"/>
          <w:b/>
          <w:bCs/>
          <w:kern w:val="0"/>
          <w:sz w:val="27"/>
          <w:szCs w:val="27"/>
          <w14:ligatures w14:val="none"/>
        </w:rPr>
      </w:pPr>
      <w:r w:rsidRPr="00740B2E">
        <w:rPr>
          <w:rFonts w:eastAsia="Times New Roman" w:cs="Times New Roman"/>
          <w:b/>
          <w:bCs/>
          <w:kern w:val="0"/>
          <w:sz w:val="27"/>
          <w:szCs w:val="27"/>
          <w14:ligatures w14:val="none"/>
        </w:rPr>
        <w:t>7. Conclusion</w:t>
      </w:r>
    </w:p>
    <w:p w14:paraId="15871DA2" w14:textId="77777777" w:rsidR="004B6EDB" w:rsidRDefault="002979E3" w:rsidP="004B6EDB">
      <w:pPr>
        <w:spacing w:after="120" w:line="240" w:lineRule="auto"/>
        <w:rPr>
          <w:rFonts w:eastAsia="Times New Roman" w:cs="Arial"/>
          <w:kern w:val="0"/>
          <w:sz w:val="21"/>
          <w:szCs w:val="21"/>
          <w14:ligatures w14:val="none"/>
        </w:rPr>
      </w:pPr>
      <w:r w:rsidRPr="00740B2E">
        <w:rPr>
          <w:rFonts w:eastAsia="Times New Roman" w:cs="Arial"/>
          <w:kern w:val="0"/>
          <w:sz w:val="21"/>
          <w:szCs w:val="21"/>
          <w14:ligatures w14:val="none"/>
        </w:rPr>
        <w:lastRenderedPageBreak/>
        <w:t xml:space="preserve">The $2.5 trillion trade finance gap is more than a banking issue; it is a development crisis. Without access to capital, LMICs cannot utilize trade as an engine for poverty reduction. </w:t>
      </w:r>
    </w:p>
    <w:p w14:paraId="31253116" w14:textId="28F68CDF" w:rsidR="002979E3" w:rsidRDefault="002979E3" w:rsidP="004B6EDB">
      <w:pPr>
        <w:spacing w:after="120" w:line="240" w:lineRule="auto"/>
        <w:rPr>
          <w:rFonts w:eastAsia="Times New Roman" w:cs="Arial"/>
          <w:kern w:val="0"/>
          <w:sz w:val="21"/>
          <w:szCs w:val="21"/>
          <w14:ligatures w14:val="none"/>
        </w:rPr>
      </w:pPr>
      <w:r w:rsidRPr="00740B2E">
        <w:rPr>
          <w:rFonts w:eastAsia="Times New Roman" w:cs="Arial"/>
          <w:kern w:val="0"/>
          <w:sz w:val="21"/>
          <w:szCs w:val="21"/>
          <w14:ligatures w14:val="none"/>
        </w:rPr>
        <w:t>Closing this gap through digital innovation and regulatory reform could unlock trillions in economic growth, specifically benefiting the most vulnerable sectors of the global economy.</w:t>
      </w:r>
    </w:p>
    <w:p w14:paraId="6F5BCD01" w14:textId="77777777" w:rsidR="004B6EDB" w:rsidRPr="004B6EDB" w:rsidRDefault="004B6EDB" w:rsidP="004B6EDB">
      <w:pPr>
        <w:shd w:val="clear" w:color="auto" w:fill="FFFFFF"/>
        <w:spacing w:after="120" w:line="240" w:lineRule="auto"/>
        <w:rPr>
          <w:rFonts w:eastAsia="Times New Roman" w:cs="Arial"/>
          <w:color w:val="1A1C1E"/>
          <w:kern w:val="0"/>
          <w:sz w:val="21"/>
          <w:szCs w:val="21"/>
          <w14:ligatures w14:val="none"/>
        </w:rPr>
      </w:pPr>
      <w:r w:rsidRPr="004B6EDB">
        <w:rPr>
          <w:rFonts w:eastAsia="Times New Roman" w:cs="Arial"/>
          <w:color w:val="1A1C1E"/>
          <w:kern w:val="0"/>
          <w:sz w:val="21"/>
          <w:szCs w:val="21"/>
          <w14:ligatures w14:val="none"/>
        </w:rPr>
        <w:t>To bridge the $2.5 trillion gap, international organizations (ADB, WTO, IMF) advocate for three primary shifts:</w:t>
      </w:r>
    </w:p>
    <w:p w14:paraId="2FD4887D" w14:textId="77777777" w:rsidR="004B6EDB" w:rsidRPr="004B6EDB" w:rsidRDefault="004B6EDB" w:rsidP="004B6EDB">
      <w:pPr>
        <w:numPr>
          <w:ilvl w:val="0"/>
          <w:numId w:val="10"/>
        </w:numPr>
        <w:shd w:val="clear" w:color="auto" w:fill="FFFFFF"/>
        <w:spacing w:after="120" w:line="240" w:lineRule="auto"/>
        <w:rPr>
          <w:rFonts w:eastAsia="Times New Roman" w:cs="Arial"/>
          <w:color w:val="1A1C1E"/>
          <w:kern w:val="0"/>
          <w:sz w:val="21"/>
          <w:szCs w:val="21"/>
          <w14:ligatures w14:val="none"/>
        </w:rPr>
      </w:pPr>
      <w:r w:rsidRPr="004B6EDB">
        <w:rPr>
          <w:rFonts w:eastAsia="Times New Roman" w:cs="Arial"/>
          <w:b/>
          <w:bCs/>
          <w:color w:val="1A1C1E"/>
          <w:kern w:val="0"/>
          <w:sz w:val="21"/>
          <w:szCs w:val="21"/>
          <w14:ligatures w14:val="none"/>
        </w:rPr>
        <w:t>Digitalization:</w:t>
      </w:r>
      <w:r w:rsidRPr="004B6EDB">
        <w:rPr>
          <w:rFonts w:eastAsia="Times New Roman" w:cs="Arial"/>
          <w:color w:val="1A1C1E"/>
          <w:kern w:val="0"/>
          <w:sz w:val="21"/>
          <w:szCs w:val="21"/>
          <w14:ligatures w14:val="none"/>
        </w:rPr>
        <w:t> Moving from paper-based "Letters of Credit" to digital trade documents could reduce costs by 14% and add $1 trillion to global trade.</w:t>
      </w:r>
    </w:p>
    <w:p w14:paraId="0784F742" w14:textId="77777777" w:rsidR="004B6EDB" w:rsidRPr="004B6EDB" w:rsidRDefault="004B6EDB" w:rsidP="004B6EDB">
      <w:pPr>
        <w:numPr>
          <w:ilvl w:val="0"/>
          <w:numId w:val="10"/>
        </w:numPr>
        <w:shd w:val="clear" w:color="auto" w:fill="FFFFFF"/>
        <w:spacing w:after="120" w:line="240" w:lineRule="auto"/>
        <w:rPr>
          <w:rFonts w:eastAsia="Times New Roman" w:cs="Arial"/>
          <w:color w:val="1A1C1E"/>
          <w:kern w:val="0"/>
          <w:sz w:val="21"/>
          <w:szCs w:val="21"/>
          <w14:ligatures w14:val="none"/>
        </w:rPr>
      </w:pPr>
      <w:r w:rsidRPr="004B6EDB">
        <w:rPr>
          <w:rFonts w:eastAsia="Times New Roman" w:cs="Arial"/>
          <w:b/>
          <w:bCs/>
          <w:color w:val="1A1C1E"/>
          <w:kern w:val="0"/>
          <w:sz w:val="21"/>
          <w:szCs w:val="21"/>
          <w14:ligatures w14:val="none"/>
        </w:rPr>
        <w:t>Risk Sharing:</w:t>
      </w:r>
      <w:r w:rsidRPr="004B6EDB">
        <w:rPr>
          <w:rFonts w:eastAsia="Times New Roman" w:cs="Arial"/>
          <w:color w:val="1A1C1E"/>
          <w:kern w:val="0"/>
          <w:sz w:val="21"/>
          <w:szCs w:val="21"/>
          <w14:ligatures w14:val="none"/>
        </w:rPr>
        <w:t> Encouraging Multilateral Development Banks (MDBs) to provide more guarantees to local banks in LMICs.</w:t>
      </w:r>
    </w:p>
    <w:p w14:paraId="7AD8D77B" w14:textId="772416F6" w:rsidR="002979E3" w:rsidRPr="004B6EDB" w:rsidRDefault="004B6EDB" w:rsidP="004B6EDB">
      <w:pPr>
        <w:numPr>
          <w:ilvl w:val="0"/>
          <w:numId w:val="10"/>
        </w:numPr>
        <w:shd w:val="clear" w:color="auto" w:fill="FFFFFF"/>
        <w:spacing w:after="120" w:line="240" w:lineRule="auto"/>
        <w:rPr>
          <w:rFonts w:eastAsia="Times New Roman" w:cs="Arial"/>
          <w:color w:val="1A1C1E"/>
          <w:kern w:val="0"/>
          <w:sz w:val="21"/>
          <w:szCs w:val="21"/>
          <w14:ligatures w14:val="none"/>
        </w:rPr>
      </w:pPr>
      <w:r w:rsidRPr="004B6EDB">
        <w:rPr>
          <w:rFonts w:eastAsia="Times New Roman" w:cs="Arial"/>
          <w:b/>
          <w:bCs/>
          <w:color w:val="1A1C1E"/>
          <w:kern w:val="0"/>
          <w:sz w:val="21"/>
          <w:szCs w:val="21"/>
          <w14:ligatures w14:val="none"/>
        </w:rPr>
        <w:t>Alternative Finance:</w:t>
      </w:r>
      <w:r w:rsidRPr="004B6EDB">
        <w:rPr>
          <w:rFonts w:eastAsia="Times New Roman" w:cs="Arial"/>
          <w:color w:val="1A1C1E"/>
          <w:kern w:val="0"/>
          <w:sz w:val="21"/>
          <w:szCs w:val="21"/>
          <w14:ligatures w14:val="none"/>
        </w:rPr>
        <w:t> Promoting </w:t>
      </w:r>
      <w:r w:rsidRPr="004B6EDB">
        <w:rPr>
          <w:rFonts w:eastAsia="Times New Roman" w:cs="Arial"/>
          <w:b/>
          <w:bCs/>
          <w:color w:val="1A1C1E"/>
          <w:kern w:val="0"/>
          <w:sz w:val="21"/>
          <w:szCs w:val="21"/>
          <w14:ligatures w14:val="none"/>
        </w:rPr>
        <w:t>Supply Chain Finance (SCF)</w:t>
      </w:r>
      <w:r w:rsidRPr="004B6EDB">
        <w:rPr>
          <w:rFonts w:eastAsia="Times New Roman" w:cs="Arial"/>
          <w:color w:val="1A1C1E"/>
          <w:kern w:val="0"/>
          <w:sz w:val="21"/>
          <w:szCs w:val="21"/>
          <w14:ligatures w14:val="none"/>
        </w:rPr>
        <w:t> and fintech platforms that assess risk based on transaction data rather than traditional collateral.</w:t>
      </w:r>
    </w:p>
    <w:p w14:paraId="6BCF7641" w14:textId="77777777" w:rsidR="002979E3" w:rsidRPr="00740B2E" w:rsidRDefault="002979E3" w:rsidP="002979E3">
      <w:pPr>
        <w:shd w:val="clear" w:color="auto" w:fill="FFFFFF"/>
        <w:spacing w:after="120" w:line="300" w:lineRule="atLeast"/>
        <w:rPr>
          <w:rFonts w:eastAsia="Times New Roman" w:cs="Arial"/>
          <w:b/>
          <w:bCs/>
          <w:color w:val="000000"/>
          <w:kern w:val="0"/>
          <w:sz w:val="21"/>
          <w:szCs w:val="21"/>
          <w14:ligatures w14:val="none"/>
        </w:rPr>
      </w:pPr>
      <w:r w:rsidRPr="00740B2E">
        <w:rPr>
          <w:rFonts w:eastAsia="Times New Roman" w:cs="Arial"/>
          <w:b/>
          <w:bCs/>
          <w:color w:val="000000"/>
          <w:kern w:val="0"/>
          <w:sz w:val="21"/>
          <w:szCs w:val="21"/>
          <w14:ligatures w14:val="none"/>
        </w:rPr>
        <w:t>Sources</w:t>
      </w:r>
    </w:p>
    <w:p w14:paraId="10F87D19" w14:textId="77777777" w:rsidR="002979E3" w:rsidRPr="00740B2E" w:rsidRDefault="002979E3" w:rsidP="002979E3">
      <w:pPr>
        <w:numPr>
          <w:ilvl w:val="0"/>
          <w:numId w:val="6"/>
        </w:numPr>
        <w:shd w:val="clear" w:color="auto" w:fill="FFFFFF"/>
        <w:spacing w:before="100" w:beforeAutospacing="1" w:after="60" w:line="240" w:lineRule="auto"/>
        <w:rPr>
          <w:rFonts w:eastAsia="Times New Roman" w:cs="Arial"/>
          <w:color w:val="1A1C1E"/>
          <w:kern w:val="0"/>
          <w:sz w:val="21"/>
          <w:szCs w:val="21"/>
          <w14:ligatures w14:val="none"/>
        </w:rPr>
      </w:pPr>
      <w:hyperlink r:id="rId15" w:tgtFrame="_blank" w:history="1">
        <w:r w:rsidRPr="00740B2E">
          <w:rPr>
            <w:rFonts w:eastAsia="Times New Roman" w:cs="Arial"/>
            <w:color w:val="2483E2"/>
            <w:kern w:val="0"/>
            <w:sz w:val="21"/>
            <w:szCs w:val="21"/>
            <w:u w:val="single"/>
            <w14:ligatures w14:val="none"/>
          </w:rPr>
          <w:t>adb.org</w:t>
        </w:r>
      </w:hyperlink>
    </w:p>
    <w:p w14:paraId="27E3E7B3" w14:textId="77777777" w:rsidR="002979E3" w:rsidRPr="00740B2E" w:rsidRDefault="002979E3" w:rsidP="002979E3">
      <w:pPr>
        <w:numPr>
          <w:ilvl w:val="0"/>
          <w:numId w:val="6"/>
        </w:numPr>
        <w:shd w:val="clear" w:color="auto" w:fill="FFFFFF"/>
        <w:spacing w:before="100" w:beforeAutospacing="1" w:after="60" w:line="240" w:lineRule="auto"/>
        <w:rPr>
          <w:rFonts w:eastAsia="Times New Roman" w:cs="Arial"/>
          <w:color w:val="1A1C1E"/>
          <w:kern w:val="0"/>
          <w:sz w:val="21"/>
          <w:szCs w:val="21"/>
          <w14:ligatures w14:val="none"/>
        </w:rPr>
      </w:pPr>
      <w:hyperlink r:id="rId16" w:tgtFrame="_blank" w:history="1">
        <w:r w:rsidRPr="00740B2E">
          <w:rPr>
            <w:rFonts w:eastAsia="Times New Roman" w:cs="Arial"/>
            <w:color w:val="2483E2"/>
            <w:kern w:val="0"/>
            <w:sz w:val="21"/>
            <w:szCs w:val="21"/>
            <w:u w:val="single"/>
            <w14:ligatures w14:val="none"/>
          </w:rPr>
          <w:t>eastandpartners.com</w:t>
        </w:r>
      </w:hyperlink>
    </w:p>
    <w:p w14:paraId="6D3C79AB" w14:textId="77777777" w:rsidR="002979E3" w:rsidRPr="00740B2E" w:rsidRDefault="002979E3" w:rsidP="002979E3">
      <w:pPr>
        <w:numPr>
          <w:ilvl w:val="0"/>
          <w:numId w:val="6"/>
        </w:numPr>
        <w:shd w:val="clear" w:color="auto" w:fill="FFFFFF"/>
        <w:spacing w:before="100" w:beforeAutospacing="1" w:after="60" w:line="240" w:lineRule="auto"/>
        <w:rPr>
          <w:rFonts w:eastAsia="Times New Roman" w:cs="Arial"/>
          <w:color w:val="1A1C1E"/>
          <w:kern w:val="0"/>
          <w:sz w:val="21"/>
          <w:szCs w:val="21"/>
          <w14:ligatures w14:val="none"/>
        </w:rPr>
      </w:pPr>
      <w:hyperlink r:id="rId17" w:tgtFrame="_blank" w:history="1">
        <w:r w:rsidRPr="00740B2E">
          <w:rPr>
            <w:rFonts w:eastAsia="Times New Roman" w:cs="Arial"/>
            <w:color w:val="2483E2"/>
            <w:kern w:val="0"/>
            <w:sz w:val="21"/>
            <w:szCs w:val="21"/>
            <w:u w:val="single"/>
            <w14:ligatures w14:val="none"/>
          </w:rPr>
          <w:t>gtreview.com</w:t>
        </w:r>
      </w:hyperlink>
    </w:p>
    <w:p w14:paraId="44148570" w14:textId="77777777" w:rsidR="002979E3" w:rsidRPr="00740B2E" w:rsidRDefault="002979E3" w:rsidP="002979E3">
      <w:pPr>
        <w:numPr>
          <w:ilvl w:val="0"/>
          <w:numId w:val="6"/>
        </w:numPr>
        <w:shd w:val="clear" w:color="auto" w:fill="FFFFFF"/>
        <w:spacing w:before="100" w:beforeAutospacing="1" w:after="60" w:line="240" w:lineRule="auto"/>
        <w:rPr>
          <w:rFonts w:eastAsia="Times New Roman" w:cs="Arial"/>
          <w:color w:val="1A1C1E"/>
          <w:kern w:val="0"/>
          <w:sz w:val="21"/>
          <w:szCs w:val="21"/>
          <w14:ligatures w14:val="none"/>
        </w:rPr>
      </w:pPr>
      <w:hyperlink r:id="rId18" w:tgtFrame="_blank" w:history="1">
        <w:r w:rsidRPr="00740B2E">
          <w:rPr>
            <w:rFonts w:eastAsia="Times New Roman" w:cs="Arial"/>
            <w:color w:val="2483E2"/>
            <w:kern w:val="0"/>
            <w:sz w:val="21"/>
            <w:szCs w:val="21"/>
            <w:u w:val="single"/>
            <w14:ligatures w14:val="none"/>
          </w:rPr>
          <w:t>tradecouncil.org</w:t>
        </w:r>
      </w:hyperlink>
    </w:p>
    <w:p w14:paraId="624FFE50" w14:textId="77777777" w:rsidR="002979E3" w:rsidRPr="00740B2E" w:rsidRDefault="002979E3" w:rsidP="002979E3">
      <w:pPr>
        <w:numPr>
          <w:ilvl w:val="0"/>
          <w:numId w:val="6"/>
        </w:numPr>
        <w:shd w:val="clear" w:color="auto" w:fill="FFFFFF"/>
        <w:spacing w:before="100" w:beforeAutospacing="1" w:after="60" w:line="240" w:lineRule="auto"/>
        <w:rPr>
          <w:rFonts w:eastAsia="Times New Roman" w:cs="Arial"/>
          <w:color w:val="1A1C1E"/>
          <w:kern w:val="0"/>
          <w:sz w:val="21"/>
          <w:szCs w:val="21"/>
          <w14:ligatures w14:val="none"/>
        </w:rPr>
      </w:pPr>
      <w:hyperlink r:id="rId19" w:tgtFrame="_blank" w:history="1">
        <w:r w:rsidRPr="00740B2E">
          <w:rPr>
            <w:rFonts w:eastAsia="Times New Roman" w:cs="Arial"/>
            <w:color w:val="2483E2"/>
            <w:kern w:val="0"/>
            <w:sz w:val="21"/>
            <w:szCs w:val="21"/>
            <w:u w:val="single"/>
            <w14:ligatures w14:val="none"/>
          </w:rPr>
          <w:t>inspirepreneurmagazine.com</w:t>
        </w:r>
      </w:hyperlink>
    </w:p>
    <w:p w14:paraId="31DC4118" w14:textId="77777777" w:rsidR="002979E3" w:rsidRPr="00740B2E" w:rsidRDefault="002979E3" w:rsidP="002979E3">
      <w:pPr>
        <w:numPr>
          <w:ilvl w:val="0"/>
          <w:numId w:val="6"/>
        </w:numPr>
        <w:shd w:val="clear" w:color="auto" w:fill="FFFFFF"/>
        <w:spacing w:before="100" w:beforeAutospacing="1" w:after="60" w:line="240" w:lineRule="auto"/>
        <w:rPr>
          <w:rFonts w:eastAsia="Times New Roman" w:cs="Arial"/>
          <w:color w:val="1A1C1E"/>
          <w:kern w:val="0"/>
          <w:sz w:val="21"/>
          <w:szCs w:val="21"/>
          <w14:ligatures w14:val="none"/>
        </w:rPr>
      </w:pPr>
      <w:hyperlink r:id="rId20" w:tgtFrame="_blank" w:history="1">
        <w:r w:rsidRPr="00740B2E">
          <w:rPr>
            <w:rFonts w:eastAsia="Times New Roman" w:cs="Arial"/>
            <w:color w:val="2483E2"/>
            <w:kern w:val="0"/>
            <w:sz w:val="21"/>
            <w:szCs w:val="21"/>
            <w:u w:val="single"/>
            <w14:ligatures w14:val="none"/>
          </w:rPr>
          <w:t>unctad.org</w:t>
        </w:r>
      </w:hyperlink>
    </w:p>
    <w:p w14:paraId="69B9FD20" w14:textId="77777777" w:rsidR="002979E3" w:rsidRPr="00740B2E" w:rsidRDefault="002979E3" w:rsidP="002979E3">
      <w:pPr>
        <w:numPr>
          <w:ilvl w:val="0"/>
          <w:numId w:val="6"/>
        </w:numPr>
        <w:shd w:val="clear" w:color="auto" w:fill="FFFFFF"/>
        <w:spacing w:before="100" w:beforeAutospacing="1" w:after="60" w:line="240" w:lineRule="auto"/>
        <w:rPr>
          <w:rFonts w:eastAsia="Times New Roman" w:cs="Arial"/>
          <w:color w:val="1A1C1E"/>
          <w:kern w:val="0"/>
          <w:sz w:val="21"/>
          <w:szCs w:val="21"/>
          <w14:ligatures w14:val="none"/>
        </w:rPr>
      </w:pPr>
      <w:hyperlink r:id="rId21" w:tgtFrame="_blank" w:history="1">
        <w:r w:rsidRPr="00740B2E">
          <w:rPr>
            <w:rFonts w:eastAsia="Times New Roman" w:cs="Arial"/>
            <w:color w:val="2483E2"/>
            <w:kern w:val="0"/>
            <w:sz w:val="21"/>
            <w:szCs w:val="21"/>
            <w:u w:val="single"/>
            <w14:ligatures w14:val="none"/>
          </w:rPr>
          <w:t>ceo-insight.com</w:t>
        </w:r>
      </w:hyperlink>
    </w:p>
    <w:p w14:paraId="1F309270" w14:textId="77777777" w:rsidR="002979E3" w:rsidRPr="00740B2E" w:rsidRDefault="002979E3" w:rsidP="002979E3">
      <w:pPr>
        <w:numPr>
          <w:ilvl w:val="0"/>
          <w:numId w:val="6"/>
        </w:numPr>
        <w:shd w:val="clear" w:color="auto" w:fill="FFFFFF"/>
        <w:spacing w:before="100" w:beforeAutospacing="1" w:after="60" w:line="240" w:lineRule="auto"/>
        <w:rPr>
          <w:rFonts w:eastAsia="Times New Roman" w:cs="Arial"/>
          <w:color w:val="1A1C1E"/>
          <w:kern w:val="0"/>
          <w:sz w:val="21"/>
          <w:szCs w:val="21"/>
          <w14:ligatures w14:val="none"/>
        </w:rPr>
      </w:pPr>
      <w:hyperlink r:id="rId22" w:tgtFrame="_blank" w:history="1">
        <w:r w:rsidRPr="00740B2E">
          <w:rPr>
            <w:rFonts w:eastAsia="Times New Roman" w:cs="Arial"/>
            <w:color w:val="2483E2"/>
            <w:kern w:val="0"/>
            <w:sz w:val="21"/>
            <w:szCs w:val="21"/>
            <w:u w:val="single"/>
            <w14:ligatures w14:val="none"/>
          </w:rPr>
          <w:t>medium.com</w:t>
        </w:r>
      </w:hyperlink>
    </w:p>
    <w:p w14:paraId="256E960D" w14:textId="77777777" w:rsidR="002979E3" w:rsidRPr="00740B2E" w:rsidRDefault="002979E3" w:rsidP="002979E3">
      <w:pPr>
        <w:numPr>
          <w:ilvl w:val="0"/>
          <w:numId w:val="6"/>
        </w:numPr>
        <w:shd w:val="clear" w:color="auto" w:fill="FFFFFF"/>
        <w:spacing w:before="100" w:beforeAutospacing="1" w:after="60" w:line="240" w:lineRule="auto"/>
        <w:rPr>
          <w:rFonts w:eastAsia="Times New Roman" w:cs="Arial"/>
          <w:color w:val="1A1C1E"/>
          <w:kern w:val="0"/>
          <w:sz w:val="21"/>
          <w:szCs w:val="21"/>
          <w14:ligatures w14:val="none"/>
        </w:rPr>
      </w:pPr>
      <w:hyperlink r:id="rId23" w:tgtFrame="_blank" w:history="1">
        <w:r w:rsidRPr="00740B2E">
          <w:rPr>
            <w:rFonts w:eastAsia="Times New Roman" w:cs="Arial"/>
            <w:color w:val="2483E2"/>
            <w:kern w:val="0"/>
            <w:sz w:val="21"/>
            <w:szCs w:val="21"/>
            <w:u w:val="single"/>
            <w14:ligatures w14:val="none"/>
          </w:rPr>
          <w:t>traydstream.com</w:t>
        </w:r>
      </w:hyperlink>
    </w:p>
    <w:p w14:paraId="1E7F2F84" w14:textId="77777777" w:rsidR="002979E3" w:rsidRDefault="002979E3" w:rsidP="002979E3">
      <w:pPr>
        <w:numPr>
          <w:ilvl w:val="0"/>
          <w:numId w:val="6"/>
        </w:numPr>
        <w:shd w:val="clear" w:color="auto" w:fill="FFFFFF"/>
        <w:spacing w:before="100" w:beforeAutospacing="1" w:after="60" w:line="240" w:lineRule="auto"/>
        <w:rPr>
          <w:rFonts w:eastAsia="Times New Roman" w:cs="Arial"/>
          <w:color w:val="1A1C1E"/>
          <w:kern w:val="0"/>
          <w:sz w:val="21"/>
          <w:szCs w:val="21"/>
          <w14:ligatures w14:val="none"/>
        </w:rPr>
      </w:pPr>
      <w:hyperlink r:id="rId24" w:tgtFrame="_blank" w:history="1">
        <w:r w:rsidRPr="00740B2E">
          <w:rPr>
            <w:rFonts w:eastAsia="Times New Roman" w:cs="Arial"/>
            <w:color w:val="2483E2"/>
            <w:kern w:val="0"/>
            <w:sz w:val="21"/>
            <w:szCs w:val="21"/>
            <w:u w:val="single"/>
            <w14:ligatures w14:val="none"/>
          </w:rPr>
          <w:t>ifc.org</w:t>
        </w:r>
      </w:hyperlink>
    </w:p>
    <w:p w14:paraId="18CB8411" w14:textId="77777777" w:rsidR="006B3DC7" w:rsidRPr="004B6EDB" w:rsidRDefault="006B3DC7" w:rsidP="006B3DC7">
      <w:pPr>
        <w:numPr>
          <w:ilvl w:val="0"/>
          <w:numId w:val="6"/>
        </w:numPr>
        <w:shd w:val="clear" w:color="auto" w:fill="FFFFFF"/>
        <w:spacing w:before="100" w:beforeAutospacing="1" w:after="60" w:line="240" w:lineRule="auto"/>
        <w:rPr>
          <w:rFonts w:ascii="Arial" w:eastAsia="Times New Roman" w:hAnsi="Arial" w:cs="Arial"/>
          <w:color w:val="1A1C1E"/>
          <w:kern w:val="0"/>
          <w:sz w:val="21"/>
          <w:szCs w:val="21"/>
          <w14:ligatures w14:val="none"/>
        </w:rPr>
      </w:pPr>
      <w:hyperlink r:id="rId25" w:tgtFrame="_blank" w:history="1">
        <w:r w:rsidRPr="004B6EDB">
          <w:rPr>
            <w:rFonts w:ascii="Arial" w:eastAsia="Times New Roman" w:hAnsi="Arial" w:cs="Arial"/>
            <w:color w:val="2483E2"/>
            <w:kern w:val="0"/>
            <w:sz w:val="21"/>
            <w:szCs w:val="21"/>
            <w:u w:val="single"/>
            <w14:ligatures w14:val="none"/>
          </w:rPr>
          <w:t>afreximbank.com</w:t>
        </w:r>
      </w:hyperlink>
    </w:p>
    <w:p w14:paraId="7CF1BE29" w14:textId="34DD4B60" w:rsidR="004B6EDB" w:rsidRPr="006B3DC7" w:rsidRDefault="006B3DC7" w:rsidP="006B3DC7">
      <w:pPr>
        <w:numPr>
          <w:ilvl w:val="0"/>
          <w:numId w:val="6"/>
        </w:numPr>
        <w:shd w:val="clear" w:color="auto" w:fill="FFFFFF"/>
        <w:spacing w:before="100" w:beforeAutospacing="1" w:after="60" w:line="240" w:lineRule="auto"/>
        <w:rPr>
          <w:rFonts w:ascii="Arial" w:eastAsia="Times New Roman" w:hAnsi="Arial" w:cs="Arial"/>
          <w:color w:val="1A1C1E"/>
          <w:kern w:val="0"/>
          <w:sz w:val="21"/>
          <w:szCs w:val="21"/>
          <w14:ligatures w14:val="none"/>
        </w:rPr>
      </w:pPr>
      <w:hyperlink r:id="rId26" w:tgtFrame="_blank" w:history="1">
        <w:r w:rsidRPr="004B6EDB">
          <w:rPr>
            <w:rFonts w:ascii="Arial" w:eastAsia="Times New Roman" w:hAnsi="Arial" w:cs="Arial"/>
            <w:color w:val="2483E2"/>
            <w:kern w:val="0"/>
            <w:sz w:val="21"/>
            <w:szCs w:val="21"/>
            <w:u w:val="single"/>
            <w14:ligatures w14:val="none"/>
          </w:rPr>
          <w:t>caribbeannewsglobal.com</w:t>
        </w:r>
      </w:hyperlink>
    </w:p>
    <w:sectPr w:rsidR="004B6EDB" w:rsidRPr="006B3D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9C75D4"/>
    <w:multiLevelType w:val="multilevel"/>
    <w:tmpl w:val="3C7CE5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4B2345"/>
    <w:multiLevelType w:val="multilevel"/>
    <w:tmpl w:val="EBE6977C"/>
    <w:lvl w:ilvl="0">
      <w:start w:val="1"/>
      <w:numFmt w:val="bullet"/>
      <w:lvlText w:val=""/>
      <w:lvlJc w:val="left"/>
      <w:pPr>
        <w:tabs>
          <w:tab w:val="num" w:pos="720"/>
        </w:tabs>
        <w:ind w:left="720" w:hanging="360"/>
      </w:pPr>
      <w:rPr>
        <w:rFonts w:ascii="Symbol" w:hAnsi="Symbol" w:hint="default"/>
        <w:sz w:val="20"/>
      </w:rPr>
    </w:lvl>
    <w:lvl w:ilvl="1">
      <w:start w:val="6"/>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211C0D"/>
    <w:multiLevelType w:val="multilevel"/>
    <w:tmpl w:val="A192F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8C18E1"/>
    <w:multiLevelType w:val="multilevel"/>
    <w:tmpl w:val="524EF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1C3723"/>
    <w:multiLevelType w:val="multilevel"/>
    <w:tmpl w:val="FFAE8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5274AF"/>
    <w:multiLevelType w:val="multilevel"/>
    <w:tmpl w:val="5E820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805402"/>
    <w:multiLevelType w:val="multilevel"/>
    <w:tmpl w:val="52C00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5B0557"/>
    <w:multiLevelType w:val="multilevel"/>
    <w:tmpl w:val="24D43C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FEF2C01"/>
    <w:multiLevelType w:val="multilevel"/>
    <w:tmpl w:val="DD28C4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3EB7948"/>
    <w:multiLevelType w:val="multilevel"/>
    <w:tmpl w:val="066816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A9567B5"/>
    <w:multiLevelType w:val="multilevel"/>
    <w:tmpl w:val="C59EDE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04712629">
    <w:abstractNumId w:val="6"/>
  </w:num>
  <w:num w:numId="2" w16cid:durableId="1441758055">
    <w:abstractNumId w:val="4"/>
  </w:num>
  <w:num w:numId="3" w16cid:durableId="1534727169">
    <w:abstractNumId w:val="9"/>
  </w:num>
  <w:num w:numId="4" w16cid:durableId="1661272708">
    <w:abstractNumId w:val="1"/>
  </w:num>
  <w:num w:numId="5" w16cid:durableId="502161596">
    <w:abstractNumId w:val="5"/>
  </w:num>
  <w:num w:numId="6" w16cid:durableId="1951356160">
    <w:abstractNumId w:val="8"/>
  </w:num>
  <w:num w:numId="7" w16cid:durableId="1490829096">
    <w:abstractNumId w:val="3"/>
  </w:num>
  <w:num w:numId="8" w16cid:durableId="1064721814">
    <w:abstractNumId w:val="0"/>
  </w:num>
  <w:num w:numId="9" w16cid:durableId="1890727284">
    <w:abstractNumId w:val="2"/>
  </w:num>
  <w:num w:numId="10" w16cid:durableId="2133553261">
    <w:abstractNumId w:val="7"/>
  </w:num>
  <w:num w:numId="11" w16cid:durableId="6784356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DE3srSwMDUwMzIzNTBU0lEKTi0uzszPAykwrAUAXrFQGiwAAAA="/>
  </w:docVars>
  <w:rsids>
    <w:rsidRoot w:val="002979E3"/>
    <w:rsid w:val="002979E3"/>
    <w:rsid w:val="003D0C21"/>
    <w:rsid w:val="004B6EDB"/>
    <w:rsid w:val="005020E7"/>
    <w:rsid w:val="006B3DC7"/>
    <w:rsid w:val="0098613E"/>
    <w:rsid w:val="00A03483"/>
    <w:rsid w:val="00B552CC"/>
    <w:rsid w:val="00BD528D"/>
    <w:rsid w:val="00E12D64"/>
    <w:rsid w:val="00F609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27763"/>
  <w15:chartTrackingRefBased/>
  <w15:docId w15:val="{7B2AB76C-1A9A-46CA-A7B6-A4775E2B7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79E3"/>
  </w:style>
  <w:style w:type="paragraph" w:styleId="Heading1">
    <w:name w:val="heading 1"/>
    <w:basedOn w:val="Normal"/>
    <w:next w:val="Normal"/>
    <w:link w:val="Heading1Char"/>
    <w:uiPriority w:val="9"/>
    <w:qFormat/>
    <w:rsid w:val="002979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979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979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979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979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979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79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79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79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79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979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979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979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979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79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79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79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79E3"/>
    <w:rPr>
      <w:rFonts w:eastAsiaTheme="majorEastAsia" w:cstheme="majorBidi"/>
      <w:color w:val="272727" w:themeColor="text1" w:themeTint="D8"/>
    </w:rPr>
  </w:style>
  <w:style w:type="paragraph" w:styleId="Title">
    <w:name w:val="Title"/>
    <w:basedOn w:val="Normal"/>
    <w:next w:val="Normal"/>
    <w:link w:val="TitleChar"/>
    <w:uiPriority w:val="10"/>
    <w:qFormat/>
    <w:rsid w:val="002979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79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79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79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79E3"/>
    <w:pPr>
      <w:spacing w:before="160"/>
      <w:jc w:val="center"/>
    </w:pPr>
    <w:rPr>
      <w:i/>
      <w:iCs/>
      <w:color w:val="404040" w:themeColor="text1" w:themeTint="BF"/>
    </w:rPr>
  </w:style>
  <w:style w:type="character" w:customStyle="1" w:styleId="QuoteChar">
    <w:name w:val="Quote Char"/>
    <w:basedOn w:val="DefaultParagraphFont"/>
    <w:link w:val="Quote"/>
    <w:uiPriority w:val="29"/>
    <w:rsid w:val="002979E3"/>
    <w:rPr>
      <w:i/>
      <w:iCs/>
      <w:color w:val="404040" w:themeColor="text1" w:themeTint="BF"/>
    </w:rPr>
  </w:style>
  <w:style w:type="paragraph" w:styleId="ListParagraph">
    <w:name w:val="List Paragraph"/>
    <w:basedOn w:val="Normal"/>
    <w:uiPriority w:val="34"/>
    <w:qFormat/>
    <w:rsid w:val="002979E3"/>
    <w:pPr>
      <w:ind w:left="720"/>
      <w:contextualSpacing/>
    </w:pPr>
  </w:style>
  <w:style w:type="character" w:styleId="IntenseEmphasis">
    <w:name w:val="Intense Emphasis"/>
    <w:basedOn w:val="DefaultParagraphFont"/>
    <w:uiPriority w:val="21"/>
    <w:qFormat/>
    <w:rsid w:val="002979E3"/>
    <w:rPr>
      <w:i/>
      <w:iCs/>
      <w:color w:val="0F4761" w:themeColor="accent1" w:themeShade="BF"/>
    </w:rPr>
  </w:style>
  <w:style w:type="paragraph" w:styleId="IntenseQuote">
    <w:name w:val="Intense Quote"/>
    <w:basedOn w:val="Normal"/>
    <w:next w:val="Normal"/>
    <w:link w:val="IntenseQuoteChar"/>
    <w:uiPriority w:val="30"/>
    <w:qFormat/>
    <w:rsid w:val="002979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979E3"/>
    <w:rPr>
      <w:i/>
      <w:iCs/>
      <w:color w:val="0F4761" w:themeColor="accent1" w:themeShade="BF"/>
    </w:rPr>
  </w:style>
  <w:style w:type="character" w:styleId="IntenseReference">
    <w:name w:val="Intense Reference"/>
    <w:basedOn w:val="DefaultParagraphFont"/>
    <w:uiPriority w:val="32"/>
    <w:qFormat/>
    <w:rsid w:val="002979E3"/>
    <w:rPr>
      <w:b/>
      <w:bCs/>
      <w:smallCaps/>
      <w:color w:val="0F4761" w:themeColor="accent1" w:themeShade="BF"/>
      <w:spacing w:val="5"/>
    </w:rPr>
  </w:style>
  <w:style w:type="character" w:customStyle="1" w:styleId="ng-star-inserted">
    <w:name w:val="ng-star-inserted"/>
    <w:basedOn w:val="DefaultParagraphFont"/>
    <w:rsid w:val="004B6EDB"/>
  </w:style>
  <w:style w:type="paragraph" w:customStyle="1" w:styleId="ng-star-inserted1">
    <w:name w:val="ng-star-inserted1"/>
    <w:basedOn w:val="Normal"/>
    <w:rsid w:val="004B6EDB"/>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4B6ED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sa=E&amp;q=https%3A%2F%2Fvertexaisearch.cloud.google.com%2Fgrounding-api-redirect%2FAUZIYQHv_skNN2iyksvTOjJt56YHH7dqXiDvxcp3g7dCQBLyYecK86cxjNicOvTuuLsvuJtYiwAuv2jmPiAGVTJBrJAuMk95lpRbOQZtcqvi-WCbxpMvD3v0YDsG1yeNGXFh4pvg3Hz4v82YCx4RuJ3UOB4eET7eRCnSGxwnKoU2wJT9HfqEmDaCHO-VcYZ6YvPy1LcmW46NJtxXef_zdcs3Zdr_pXwPP-rvAj7h" TargetMode="External"/><Relationship Id="rId13" Type="http://schemas.openxmlformats.org/officeDocument/2006/relationships/hyperlink" Target="https://www.google.com/url?sa=E&amp;q=https%3A%2F%2Fvertexaisearch.cloud.google.com%2Fgrounding-api-redirect%2FAUZIYQGYiasjaGdY_32yFlcMGPHGl2QRvk3CJ-yiCxt2g9MuPvpq6D4GdNqld9uqG18EYuieVc1ed25Z5gZ1CRBDx03hqUtHZO6EAO9wxUiIlEH2ueM1F4eCuF--AH2tL__l_Qh0egmkCZB6gMiZh4yKWkRGMW5inTe5LEpR1m1YKw%3D%3D" TargetMode="External"/><Relationship Id="rId18" Type="http://schemas.openxmlformats.org/officeDocument/2006/relationships/hyperlink" Target="https://www.google.com/url?sa=E&amp;q=https%3A%2F%2Fvertexaisearch.cloud.google.com%2Fgrounding-api-redirect%2FAUZIYQHk2SKqRblkVfEqSdadoY-40OfstXlmJHvJKvQtA5JRcut4LAic_wbrTTWETyhcTI_T8KgXgGegAloKLSl4HlOyaKzYDhf9cMqK0T6In-hKYvysBouWrXWD40vi2CLrJ7qj-aD6OpEu_rkdztszBlkIu46oRk2rWpeyoFMttCyq84LTqrhHdIegKFBZVw-9dZ24eWCdPt9INC2KFXdauAInJ5Fr7XugjcVBfVePpWNEYMh_XMs%3D" TargetMode="External"/><Relationship Id="rId26" Type="http://schemas.openxmlformats.org/officeDocument/2006/relationships/hyperlink" Target="https://www.google.com/url?sa=E&amp;q=https%3A%2F%2Fvertexaisearch.cloud.google.com%2Fgrounding-api-redirect%2FAUZIYQE7_UW9XVJC_2pw1BPYeBNYMjQkCWPRwfafO9-piqyhWhDKdbyOIjByxNrTSjqrQX5H83TuEZEov1Y23QGkPx8uwJy5xW7WREDR3U5PCW9KcxvaqCR6f_XvqqhmWo6Ib-rhR2PZDdLOoh21RmfA5mhvLJwCSILvWEEEi9hafHA8a3WkkObqTe6Xb1E6cw%3D%3D" TargetMode="External"/><Relationship Id="rId3" Type="http://schemas.openxmlformats.org/officeDocument/2006/relationships/settings" Target="settings.xml"/><Relationship Id="rId21" Type="http://schemas.openxmlformats.org/officeDocument/2006/relationships/hyperlink" Target="https://www.google.com/url?sa=E&amp;q=https%3A%2F%2Fvertexaisearch.cloud.google.com%2Fgrounding-api-redirect%2FAUZIYQH4aQF6rGw7vv521PeHIv-Z_SFty_3k85vAtCFfOE3zAYF0V9A13QFYMdjzWDPsaMPcKZbtAn4Aw7MFTcWxltufywSgR996zlM7hyAzxALzq4EMXAZ5mbGtzeYuSsTm5OBa6-aT2IzKty2GM7Y9HmTL6_lkzl2Y4GN306EbO2yA9vzZ3iQRUohbQ-Jy_xvU_p-GR4xXuO4W" TargetMode="External"/><Relationship Id="rId7" Type="http://schemas.openxmlformats.org/officeDocument/2006/relationships/hyperlink" Target="https://www.google.com/url?sa=E&amp;q=https%3A%2F%2Fvertexaisearch.cloud.google.com%2Fgrounding-api-redirect%2FAUZIYQFiuUJzisegxPJWgJiFSl-xTj-4INZ4Nv3-oywRUXtICHprHknImwjz6h2Al67_zp8t53qQbX0OvG1KNSKS9FXzrURmwdndr61AlG9EdOB4aYSwmko_2HiKkYOMTXtwzZ2iQU0OCETvcgyXCoP4cfzITaFnLkzhij3q1TzJOY6tYiS-sxuf" TargetMode="External"/><Relationship Id="rId12" Type="http://schemas.openxmlformats.org/officeDocument/2006/relationships/hyperlink" Target="https://www.google.com/url?sa=E&amp;q=https%3A%2F%2Fvertexaisearch.cloud.google.com%2Fgrounding-api-redirect%2FAUZIYQFGdBIAYFMZRDzm_nXOBqqPo2kTvppFhWgik-2WOItW82jgG6ZTJ-njySaoOp-IOQVDp4KbuSYE8TrMkU8rnUvdMhXcs9WFI3txHe5YJ7wPfNM7zQA0SIbqVQzrB4FDtXi5J93uINtz2K_LGLPQaJXSlXIqp7l9r5A0n_GCCYtg03qgetsb0tJrMFXzudRVKgEsRvnBkA%3D%3D" TargetMode="External"/><Relationship Id="rId17" Type="http://schemas.openxmlformats.org/officeDocument/2006/relationships/hyperlink" Target="https://www.google.com/url?sa=E&amp;q=https%3A%2F%2Fvertexaisearch.cloud.google.com%2Fgrounding-api-redirect%2FAUZIYQEFxKrb-9CVzn59yPzA06YOawmzt-4gj9nuneUA5EkSr5KiZanZOb5xGBSCh1h1NM8C--ZEhyW3-BTzLpEQLpKKXQ6vh6BvWHLb7KPACc2SnJG4fsHck_RIXbfa1tscKKiolwju-eGwHt8gEjBbY5oU1K3u5OHJjHnUartr7H7n5auGq5LLG_c%3D" TargetMode="External"/><Relationship Id="rId25" Type="http://schemas.openxmlformats.org/officeDocument/2006/relationships/hyperlink" Target="https://www.google.com/url?sa=E&amp;q=https%3A%2F%2Fvertexaisearch.cloud.google.com%2Fgrounding-api-redirect%2FAUZIYQGYiasjaGdY_32yFlcMGPHGl2QRvk3CJ-yiCxt2g9MuPvpq6D4GdNqld9uqG18EYuieVc1ed25Z5gZ1CRBDx03hqUtHZO6EAO9wxUiIlEH2ueM1F4eCuF--AH2tL__l_Qh0egmkCZB6gMiZh4yKWkRGMW5inTe5LEpR1m1YKw%3D%3D" TargetMode="External"/><Relationship Id="rId2" Type="http://schemas.openxmlformats.org/officeDocument/2006/relationships/styles" Target="styles.xml"/><Relationship Id="rId16" Type="http://schemas.openxmlformats.org/officeDocument/2006/relationships/hyperlink" Target="https://www.google.com/url?sa=E&amp;q=https%3A%2F%2Fvertexaisearch.cloud.google.com%2Fgrounding-api-redirect%2FAUZIYQHuZUCWa2szp7UyyDdU68m37se7J79qReJIutsDe0TUnVRYnvugJrokdrkoc_UKcVDfhwgXRHhMVPCU8t2Cwroa37y57gDAmCbACXfIZSf6qrgUVd9-nor5E7hAkMPUqIuOuqF6v0Gb4DeIi4g3SJ-PMTGnI_O71h6DmFpbztDyCgS6qX0quzwMvCtlZ_N7e1Vx4UV3zxYpjw%3D%3D" TargetMode="External"/><Relationship Id="rId20" Type="http://schemas.openxmlformats.org/officeDocument/2006/relationships/hyperlink" Target="https://www.google.com/url?sa=E&amp;q=https%3A%2F%2Fvertexaisearch.cloud.google.com%2Fgrounding-api-redirect%2FAUZIYQF74Ft8fJIqkeg4RSmyqLbW6aV8FWjichzP5HQx26iXrLSMFtE4M7OgfHrvqd3poZi7XFmdiim7HAwALteY4EiXMsT6rVKjqgUrsNkbanlQs4fADf1sWxToQHiX6s_6o1eLngwRpWH3PkoeVcx2va3EzNp5wedFe5vdHg%3D%3D" TargetMode="External"/><Relationship Id="rId1" Type="http://schemas.openxmlformats.org/officeDocument/2006/relationships/numbering" Target="numbering.xml"/><Relationship Id="rId6" Type="http://schemas.openxmlformats.org/officeDocument/2006/relationships/hyperlink" Target="https://www.google.com/url?sa=E&amp;q=https%3A%2F%2Fvertexaisearch.cloud.google.com%2Fgrounding-api-redirect%2FAUZIYQH4aQF6rGw7vv521PeHIv-Z_SFty_3k85vAtCFfOE3zAYF0V9A13QFYMdjzWDPsaMPcKZbtAn4Aw7MFTcWxltufywSgR996zlM7hyAzxALzq4EMXAZ5mbGtzeYuSsTm5OBa6-aT2IzKty2GM7Y9HmTL6_lkzl2Y4GN306EbO2yA9vzZ3iQRUohbQ-Jy_xvU_p-GR4xXuO4W" TargetMode="External"/><Relationship Id="rId11" Type="http://schemas.openxmlformats.org/officeDocument/2006/relationships/hyperlink" Target="https://www.google.com/url?sa=E&amp;q=https%3A%2F%2Fvertexaisearch.cloud.google.com%2Fgrounding-api-redirect%2FAUZIYQHm0E0p6oSewrky79MpWVggffkpG5HByCD7_ibAab5RkPt-P1XrdzUueA6ZIbxWWJNpS31rhBbZbReZs5V2pqxPtThvEV7G12vMs_rLmkwgHja2TXHZK6-YFUOZiRkRQOW6gs3QLoRXTde1cgyZ4fwSpxFrrhd32Z_mKoAiOp0PB9mun1nVFb0B3qRkx2C6n34pnaJN0GtfBz9EPnJQ17F5" TargetMode="External"/><Relationship Id="rId24" Type="http://schemas.openxmlformats.org/officeDocument/2006/relationships/hyperlink" Target="https://www.google.com/url?sa=E&amp;q=https%3A%2F%2Fvertexaisearch.cloud.google.com%2Fgrounding-api-redirect%2FAUZIYQHm0E0p6oSewrky79MpWVggffkpG5HByCD7_ibAab5RkPt-P1XrdzUueA6ZIbxWWJNpS31rhBbZbReZs5V2pqxPtThvEV7G12vMs_rLmkwgHja2TXHZK6-YFUOZiRkRQOW6gs3QLoRXTde1cgyZ4fwSpxFrrhd32Z_mKoAiOp0PB9mun1nVFb0B3qRkx2C6n34pnaJN0GtfBz9EPnJQ17F5" TargetMode="External"/><Relationship Id="rId5" Type="http://schemas.openxmlformats.org/officeDocument/2006/relationships/hyperlink" Target="https://www.google.com/url?sa=E&amp;q=https%3A%2F%2Fvertexaisearch.cloud.google.com%2Fgrounding-api-redirect%2FAUZIYQF74Ft8fJIqkeg4RSmyqLbW6aV8FWjichzP5HQx26iXrLSMFtE4M7OgfHrvqd3poZi7XFmdiim7HAwALteY4EiXMsT6rVKjqgUrsNkbanlQs4fADf1sWxToQHiX6s_6o1eLngwRpWH3PkoeVcx2va3EzNp5wedFe5vdHg%3D%3D" TargetMode="External"/><Relationship Id="rId15" Type="http://schemas.openxmlformats.org/officeDocument/2006/relationships/hyperlink" Target="https://www.google.com/url?sa=E&amp;q=https%3A%2F%2Fvertexaisearch.cloud.google.com%2Fgrounding-api-redirect%2FAUZIYQFiuUJzisegxPJWgJiFSl-xTj-4INZ4Nv3-oywRUXtICHprHknImwjz6h2Al67_zp8t53qQbX0OvG1KNSKS9FXzrURmwdndr61AlG9EdOB4aYSwmko_2HiKkYOMTXtwzZ2iQU0OCETvcgyXCoP4cfzITaFnLkzhij3q1TzJOY6tYiS-sxuf" TargetMode="External"/><Relationship Id="rId23" Type="http://schemas.openxmlformats.org/officeDocument/2006/relationships/hyperlink" Target="https://www.google.com/url?sa=E&amp;q=https%3A%2F%2Fvertexaisearch.cloud.google.com%2Fgrounding-api-redirect%2FAUZIYQG6BrQIdOKyy1v8ego3ysKAPMTJ9achdpeU7f4BpEwUjdn2yQ_ZAVj3lwU8sV-rijrDg_K842Hy3gfW4aJUvoI-YGcmo5nhcBdIULF01HXIji0lNnt63U9q0Z4g5gJj2HTenId5fNvyKE4_r37BwPRPW8zLHKOfIujsB9gIZ3pm2IfePcOHJa2e2KYZ7Qx9Pa1UvW8FTXaHLoAjRWVuqv_RJlelhgqstiSfyXl_Sa90gMfunHHQN7xacRaXEHw%3D" TargetMode="External"/><Relationship Id="rId28" Type="http://schemas.openxmlformats.org/officeDocument/2006/relationships/theme" Target="theme/theme1.xml"/><Relationship Id="rId10" Type="http://schemas.openxmlformats.org/officeDocument/2006/relationships/hyperlink" Target="https://www.google.com/url?sa=E&amp;q=https%3A%2F%2Fvertexaisearch.cloud.google.com%2Fgrounding-api-redirect%2FAUZIYQG6BrQIdOKyy1v8ego3ysKAPMTJ9achdpeU7f4BpEwUjdn2yQ_ZAVj3lwU8sV-rijrDg_K842Hy3gfW4aJUvoI-YGcmo5nhcBdIULF01HXIji0lNnt63U9q0Z4g5gJj2HTenId5fNvyKE4_r37BwPRPW8zLHKOfIujsB9gIZ3pm2IfePcOHJa2e2KYZ7Qx9Pa1UvW8FTXaHLoAjRWVuqv_RJlelhgqstiSfyXl_Sa90gMfunHHQN7xacRaXEHw%3D" TargetMode="External"/><Relationship Id="rId19" Type="http://schemas.openxmlformats.org/officeDocument/2006/relationships/hyperlink" Target="https://www.google.com/url?sa=E&amp;q=https%3A%2F%2Fvertexaisearch.cloud.google.com%2Fgrounding-api-redirect%2FAUZIYQEs4L7MUWHyg4JmH_5Yfv68RiVYORduYZvAFSd_GbVBwOxIcAOaBSxMw4PI24lp2pDd9E0mRe20zDcGqaMipXfJOYYQHXiAS9ko9GVOBvUsMIDDrx2aSg7xqW7mfI68I8Y9SyD15fB8ICK82d7BI4HUrOJHyeZczyyLoY1a9YwSRYUTR3O4tlFgLwNY8VP1PH7tY3e0Tzlvih6bp03UZWKRhQxnrOgzgBg%3D" TargetMode="External"/><Relationship Id="rId4" Type="http://schemas.openxmlformats.org/officeDocument/2006/relationships/webSettings" Target="webSettings.xml"/><Relationship Id="rId9" Type="http://schemas.openxmlformats.org/officeDocument/2006/relationships/hyperlink" Target="https://www.google.com/url?sa=E&amp;q=https%3A%2F%2Fvertexaisearch.cloud.google.com%2Fgrounding-api-redirect%2FAUZIYQEs4L7MUWHyg4JmH_5Yfv68RiVYORduYZvAFSd_GbVBwOxIcAOaBSxMw4PI24lp2pDd9E0mRe20zDcGqaMipXfJOYYQHXiAS9ko9GVOBvUsMIDDrx2aSg7xqW7mfI68I8Y9SyD15fB8ICK82d7BI4HUrOJHyeZczyyLoY1a9YwSRYUTR3O4tlFgLwNY8VP1PH7tY3e0Tzlvih6bp03UZWKRhQxnrOgzgBg%3D" TargetMode="External"/><Relationship Id="rId14" Type="http://schemas.openxmlformats.org/officeDocument/2006/relationships/hyperlink" Target="https://www.google.com/url?sa=E&amp;q=https%3A%2F%2Fvertexaisearch.cloud.google.com%2Fgrounding-api-redirect%2FAUZIYQE7_UW9XVJC_2pw1BPYeBNYMjQkCWPRwfafO9-piqyhWhDKdbyOIjByxNrTSjqrQX5H83TuEZEov1Y23QGkPx8uwJy5xW7WREDR3U5PCW9KcxvaqCR6f_XvqqhmWo6Ib-rhR2PZDdLOoh21RmfA5mhvLJwCSILvWEEEi9hafHA8a3WkkObqTe6Xb1E6cw%3D%3D" TargetMode="External"/><Relationship Id="rId22" Type="http://schemas.openxmlformats.org/officeDocument/2006/relationships/hyperlink" Target="https://www.google.com/url?sa=E&amp;q=https%3A%2F%2Fvertexaisearch.cloud.google.com%2Fgrounding-api-redirect%2FAUZIYQHv_skNN2iyksvTOjJt56YHH7dqXiDvxcp3g7dCQBLyYecK86cxjNicOvTuuLsvuJtYiwAuv2jmPiAGVTJBrJAuMk95lpRbOQZtcqvi-WCbxpMvD3v0YDsG1yeNGXFh4pvg3Hz4v82YCx4RuJ3UOB4eET7eRCnSGxwnKoU2wJT9HfqEmDaCHO-VcYZ6YvPy1LcmW46NJtxXef_zdcs3Zdr_pXwPP-rvAj7h"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4</Pages>
  <Words>2382</Words>
  <Characters>14558</Characters>
  <Application>Microsoft Office Word</Application>
  <DocSecurity>0</DocSecurity>
  <Lines>274</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MJ</dc:creator>
  <cp:keywords/>
  <dc:description/>
  <cp:lastModifiedBy>MJ</cp:lastModifiedBy>
  <cp:revision>5</cp:revision>
  <dcterms:created xsi:type="dcterms:W3CDTF">2026-02-05T01:51:00Z</dcterms:created>
  <dcterms:modified xsi:type="dcterms:W3CDTF">2026-02-05T02:15:00Z</dcterms:modified>
</cp:coreProperties>
</file>