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A8A8D" w14:textId="0EBC4304" w:rsidR="003563E6" w:rsidRPr="003563E6" w:rsidRDefault="003563E6" w:rsidP="003563E6">
      <w:p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color w:val="2B2D31"/>
          <w:kern w:val="0"/>
          <w:sz w:val="21"/>
          <w:szCs w:val="21"/>
          <w14:ligatures w14:val="none"/>
        </w:rPr>
        <w:t>While both Venture Capital (VC) firms and Family Offices invest in private companies, their investment criteria, motivations, risk appetites, and operational approaches differ significantly. Understanding these differences is crucial for entrepreneurs seeking funding and for anyone analyzing the private investment landscape.</w:t>
      </w:r>
    </w:p>
    <w:p w14:paraId="228D1FD9" w14:textId="77777777" w:rsidR="003563E6" w:rsidRPr="003563E6" w:rsidRDefault="003563E6" w:rsidP="003563E6">
      <w:pPr>
        <w:shd w:val="clear" w:color="auto" w:fill="FFFFFF"/>
        <w:spacing w:after="120" w:line="240" w:lineRule="auto"/>
        <w:outlineLvl w:val="2"/>
        <w:rPr>
          <w:rFonts w:asciiTheme="majorHAnsi" w:eastAsia="Times New Roman" w:hAnsiTheme="majorHAnsi" w:cs="Arial"/>
          <w:b/>
          <w:bCs/>
          <w:color w:val="2B2D31"/>
          <w:kern w:val="0"/>
          <w:sz w:val="22"/>
          <w:szCs w:val="22"/>
          <w14:ligatures w14:val="none"/>
        </w:rPr>
      </w:pPr>
      <w:r w:rsidRPr="003563E6">
        <w:rPr>
          <w:rFonts w:asciiTheme="majorHAnsi" w:eastAsia="Times New Roman" w:hAnsiTheme="majorHAnsi" w:cs="Arial"/>
          <w:b/>
          <w:bCs/>
          <w:color w:val="2B2D31"/>
          <w:kern w:val="0"/>
          <w:sz w:val="22"/>
          <w:szCs w:val="22"/>
          <w14:ligatures w14:val="none"/>
        </w:rPr>
        <w:t>Venture Capital (VC) Firms</w:t>
      </w:r>
    </w:p>
    <w:p w14:paraId="1B0B9A55" w14:textId="77777777" w:rsidR="003563E6" w:rsidRPr="003563E6" w:rsidRDefault="003563E6" w:rsidP="003563E6">
      <w:p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color w:val="2B2D31"/>
          <w:kern w:val="0"/>
          <w:sz w:val="21"/>
          <w:szCs w:val="21"/>
          <w14:ligatures w14:val="none"/>
        </w:rPr>
        <w:t>Venture Capital firms manage pooled money from limited partners (LPs) like pension funds, endowments, and institutional investors. Their primary goal is to generate outsized financial returns within a specific fund life (typically 10-12 years) by investing in high-growth, early-stage companies.</w:t>
      </w:r>
    </w:p>
    <w:p w14:paraId="272C61D5" w14:textId="77777777" w:rsidR="003563E6" w:rsidRPr="003563E6" w:rsidRDefault="003563E6" w:rsidP="003563E6">
      <w:p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Investment Criteria &amp; Characteristics:</w:t>
      </w:r>
    </w:p>
    <w:p w14:paraId="6CB1EFA2" w14:textId="77777777" w:rsidR="003563E6" w:rsidRPr="003563E6" w:rsidRDefault="003563E6" w:rsidP="003563E6">
      <w:pPr>
        <w:numPr>
          <w:ilvl w:val="0"/>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Return Profile:</w:t>
      </w:r>
    </w:p>
    <w:p w14:paraId="01431018" w14:textId="77777777" w:rsidR="003563E6" w:rsidRPr="003563E6" w:rsidRDefault="003563E6" w:rsidP="003563E6">
      <w:pPr>
        <w:numPr>
          <w:ilvl w:val="1"/>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High-Growth, High-Return:</w:t>
      </w:r>
      <w:r w:rsidRPr="003563E6">
        <w:rPr>
          <w:rFonts w:asciiTheme="majorHAnsi" w:eastAsia="Times New Roman" w:hAnsiTheme="majorHAnsi" w:cs="Arial"/>
          <w:color w:val="2B2D31"/>
          <w:kern w:val="0"/>
          <w:sz w:val="21"/>
          <w:szCs w:val="21"/>
          <w14:ligatures w14:val="none"/>
        </w:rPr>
        <w:t> Seek investments with the potential for exponential growth (10x-100x+ returns) to offset the high failure rate of startups and deliver attractive returns to their LPs.</w:t>
      </w:r>
    </w:p>
    <w:p w14:paraId="04CD0E1D" w14:textId="77777777" w:rsidR="003563E6" w:rsidRPr="003563E6" w:rsidRDefault="003563E6" w:rsidP="003563E6">
      <w:pPr>
        <w:numPr>
          <w:ilvl w:val="1"/>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Irregular Distribution:</w:t>
      </w:r>
      <w:r w:rsidRPr="003563E6">
        <w:rPr>
          <w:rFonts w:asciiTheme="majorHAnsi" w:eastAsia="Times New Roman" w:hAnsiTheme="majorHAnsi" w:cs="Arial"/>
          <w:color w:val="2B2D31"/>
          <w:kern w:val="0"/>
          <w:sz w:val="21"/>
          <w:szCs w:val="21"/>
          <w14:ligatures w14:val="none"/>
        </w:rPr>
        <w:t> Returns often come from a few "home runs" in their portfolio, not from consistent, moderate gains across all investments.</w:t>
      </w:r>
    </w:p>
    <w:p w14:paraId="49A31426" w14:textId="77777777" w:rsidR="003563E6" w:rsidRPr="003563E6" w:rsidRDefault="003563E6" w:rsidP="003563E6">
      <w:pPr>
        <w:numPr>
          <w:ilvl w:val="0"/>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Stage Focus:</w:t>
      </w:r>
    </w:p>
    <w:p w14:paraId="1048E230" w14:textId="77777777" w:rsidR="003563E6" w:rsidRPr="003563E6" w:rsidRDefault="003563E6" w:rsidP="003563E6">
      <w:pPr>
        <w:numPr>
          <w:ilvl w:val="1"/>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Early-Stage Bias:</w:t>
      </w:r>
      <w:r w:rsidRPr="003563E6">
        <w:rPr>
          <w:rFonts w:asciiTheme="majorHAnsi" w:eastAsia="Times New Roman" w:hAnsiTheme="majorHAnsi" w:cs="Arial"/>
          <w:color w:val="2B2D31"/>
          <w:kern w:val="0"/>
          <w:sz w:val="21"/>
          <w:szCs w:val="21"/>
          <w14:ligatures w14:val="none"/>
        </w:rPr>
        <w:t> Primarily focus on seed, Series A, and Series B rounds, though some specialize in later stages (growth equity). They are comfortable with companies that may not yet be profitable or have significant revenue.</w:t>
      </w:r>
    </w:p>
    <w:p w14:paraId="571A00A3" w14:textId="77777777" w:rsidR="003563E6" w:rsidRPr="003563E6" w:rsidRDefault="003563E6" w:rsidP="003563E6">
      <w:pPr>
        <w:numPr>
          <w:ilvl w:val="0"/>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Risk Appetite:</w:t>
      </w:r>
    </w:p>
    <w:p w14:paraId="1B9745B5" w14:textId="77777777" w:rsidR="003563E6" w:rsidRPr="003563E6" w:rsidRDefault="003563E6" w:rsidP="003563E6">
      <w:pPr>
        <w:numPr>
          <w:ilvl w:val="1"/>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High:</w:t>
      </w:r>
      <w:r w:rsidRPr="003563E6">
        <w:rPr>
          <w:rFonts w:asciiTheme="majorHAnsi" w:eastAsia="Times New Roman" w:hAnsiTheme="majorHAnsi" w:cs="Arial"/>
          <w:color w:val="2B2D31"/>
          <w:kern w:val="0"/>
          <w:sz w:val="21"/>
          <w:szCs w:val="21"/>
          <w14:ligatures w14:val="none"/>
        </w:rPr>
        <w:t> Comfortable with significant risk (product-market fit, technology, execution, market adoption) in exchange for high potential returns. They expect many investments to fail.</w:t>
      </w:r>
    </w:p>
    <w:p w14:paraId="1559F817" w14:textId="77777777" w:rsidR="003563E6" w:rsidRPr="003563E6" w:rsidRDefault="003563E6" w:rsidP="003563E6">
      <w:pPr>
        <w:numPr>
          <w:ilvl w:val="0"/>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Time Horizon:</w:t>
      </w:r>
    </w:p>
    <w:p w14:paraId="378F3AD6" w14:textId="77777777" w:rsidR="003563E6" w:rsidRPr="003563E6" w:rsidRDefault="003563E6" w:rsidP="003563E6">
      <w:pPr>
        <w:numPr>
          <w:ilvl w:val="1"/>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Medium-Term (5-10 years):</w:t>
      </w:r>
      <w:r w:rsidRPr="003563E6">
        <w:rPr>
          <w:rFonts w:asciiTheme="majorHAnsi" w:eastAsia="Times New Roman" w:hAnsiTheme="majorHAnsi" w:cs="Arial"/>
          <w:color w:val="2B2D31"/>
          <w:kern w:val="0"/>
          <w:sz w:val="21"/>
          <w:szCs w:val="21"/>
          <w14:ligatures w14:val="none"/>
        </w:rPr>
        <w:t> Driven by the fund life. They need to see a clear path to an exit (acquisition or IPO) within this timeframe to return capital to LPs.</w:t>
      </w:r>
    </w:p>
    <w:p w14:paraId="0CD0EB3A" w14:textId="77777777" w:rsidR="003563E6" w:rsidRPr="003563E6" w:rsidRDefault="003563E6" w:rsidP="003563E6">
      <w:pPr>
        <w:numPr>
          <w:ilvl w:val="0"/>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Sector Focus:</w:t>
      </w:r>
    </w:p>
    <w:p w14:paraId="45DCCE7C" w14:textId="77777777" w:rsidR="003563E6" w:rsidRPr="003563E6" w:rsidRDefault="003563E6" w:rsidP="003563E6">
      <w:pPr>
        <w:numPr>
          <w:ilvl w:val="1"/>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Specialization:</w:t>
      </w:r>
      <w:r w:rsidRPr="003563E6">
        <w:rPr>
          <w:rFonts w:asciiTheme="majorHAnsi" w:eastAsia="Times New Roman" w:hAnsiTheme="majorHAnsi" w:cs="Arial"/>
          <w:color w:val="2B2D31"/>
          <w:kern w:val="0"/>
          <w:sz w:val="21"/>
          <w:szCs w:val="21"/>
          <w14:ligatures w14:val="none"/>
        </w:rPr>
        <w:t> Often specialize in specific sectors (e.g., SaaS, FinTech, AI, Biotech, Consumer Tech) where they have deep expertise and networks.</w:t>
      </w:r>
    </w:p>
    <w:p w14:paraId="42EA50A6" w14:textId="77777777" w:rsidR="003563E6" w:rsidRPr="003563E6" w:rsidRDefault="003563E6" w:rsidP="003563E6">
      <w:pPr>
        <w:numPr>
          <w:ilvl w:val="0"/>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Due Diligence:</w:t>
      </w:r>
    </w:p>
    <w:p w14:paraId="3224D5D5" w14:textId="77777777" w:rsidR="003563E6" w:rsidRPr="003563E6" w:rsidRDefault="003563E6" w:rsidP="003563E6">
      <w:pPr>
        <w:numPr>
          <w:ilvl w:val="1"/>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Metrics-Driven:</w:t>
      </w:r>
      <w:r w:rsidRPr="003563E6">
        <w:rPr>
          <w:rFonts w:asciiTheme="majorHAnsi" w:eastAsia="Times New Roman" w:hAnsiTheme="majorHAnsi" w:cs="Arial"/>
          <w:color w:val="2B2D31"/>
          <w:kern w:val="0"/>
          <w:sz w:val="21"/>
          <w:szCs w:val="21"/>
          <w14:ligatures w14:val="none"/>
        </w:rPr>
        <w:t> Heavily rely on metrics like user growth, recurring revenue, customer acquisition cost (CAC), lifetime value (LTV), market size, team experience, and competitive advantage.</w:t>
      </w:r>
    </w:p>
    <w:p w14:paraId="4A2C2AF0" w14:textId="77777777" w:rsidR="003563E6" w:rsidRPr="003563E6" w:rsidRDefault="003563E6" w:rsidP="003563E6">
      <w:pPr>
        <w:numPr>
          <w:ilvl w:val="1"/>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Rigorous:</w:t>
      </w:r>
      <w:r w:rsidRPr="003563E6">
        <w:rPr>
          <w:rFonts w:asciiTheme="majorHAnsi" w:eastAsia="Times New Roman" w:hAnsiTheme="majorHAnsi" w:cs="Arial"/>
          <w:color w:val="2B2D31"/>
          <w:kern w:val="0"/>
          <w:sz w:val="21"/>
          <w:szCs w:val="21"/>
          <w14:ligatures w14:val="none"/>
        </w:rPr>
        <w:t> Conduct thorough and often aggressive due diligence to vet the business model, technology, team, and market opportunity.</w:t>
      </w:r>
    </w:p>
    <w:p w14:paraId="1B781BDF" w14:textId="77777777" w:rsidR="003563E6" w:rsidRPr="003563E6" w:rsidRDefault="003563E6" w:rsidP="003563E6">
      <w:pPr>
        <w:numPr>
          <w:ilvl w:val="0"/>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Board Involvement:</w:t>
      </w:r>
    </w:p>
    <w:p w14:paraId="69D1F5F4" w14:textId="77777777" w:rsidR="003563E6" w:rsidRPr="003563E6" w:rsidRDefault="003563E6" w:rsidP="003563E6">
      <w:pPr>
        <w:numPr>
          <w:ilvl w:val="1"/>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Active:</w:t>
      </w:r>
      <w:r w:rsidRPr="003563E6">
        <w:rPr>
          <w:rFonts w:asciiTheme="majorHAnsi" w:eastAsia="Times New Roman" w:hAnsiTheme="majorHAnsi" w:cs="Arial"/>
          <w:color w:val="2B2D31"/>
          <w:kern w:val="0"/>
          <w:sz w:val="21"/>
          <w:szCs w:val="21"/>
          <w14:ligatures w14:val="none"/>
        </w:rPr>
        <w:t> Typically take board seats and actively engage with portfolio companies, providing strategic guidance, operational support, and leveraging their networks.</w:t>
      </w:r>
    </w:p>
    <w:p w14:paraId="36D57778" w14:textId="77777777" w:rsidR="003563E6" w:rsidRPr="003563E6" w:rsidRDefault="003563E6" w:rsidP="003563E6">
      <w:pPr>
        <w:numPr>
          <w:ilvl w:val="0"/>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Liquidity Preferences:</w:t>
      </w:r>
    </w:p>
    <w:p w14:paraId="36550AAA" w14:textId="77777777" w:rsidR="003563E6" w:rsidRPr="003563E6" w:rsidRDefault="003563E6" w:rsidP="003563E6">
      <w:pPr>
        <w:numPr>
          <w:ilvl w:val="1"/>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Clear Exit Strategy:</w:t>
      </w:r>
      <w:r w:rsidRPr="003563E6">
        <w:rPr>
          <w:rFonts w:asciiTheme="majorHAnsi" w:eastAsia="Times New Roman" w:hAnsiTheme="majorHAnsi" w:cs="Arial"/>
          <w:color w:val="2B2D31"/>
          <w:kern w:val="0"/>
          <w:sz w:val="21"/>
          <w:szCs w:val="21"/>
          <w14:ligatures w14:val="none"/>
        </w:rPr>
        <w:t> Always consider the exit strategy (M&amp;A, IPO) from the outset, as this is how they realize returns.</w:t>
      </w:r>
    </w:p>
    <w:p w14:paraId="7786EDF3" w14:textId="77777777" w:rsidR="003563E6" w:rsidRPr="003563E6" w:rsidRDefault="003563E6" w:rsidP="003563E6">
      <w:pPr>
        <w:numPr>
          <w:ilvl w:val="0"/>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Investment Size:</w:t>
      </w:r>
    </w:p>
    <w:p w14:paraId="0E638D73" w14:textId="77777777" w:rsidR="003563E6" w:rsidRPr="003563E6" w:rsidRDefault="003563E6" w:rsidP="003563E6">
      <w:pPr>
        <w:numPr>
          <w:ilvl w:val="1"/>
          <w:numId w:val="1"/>
        </w:num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lastRenderedPageBreak/>
        <w:t>Structured Rounds:</w:t>
      </w:r>
      <w:r w:rsidRPr="003563E6">
        <w:rPr>
          <w:rFonts w:asciiTheme="majorHAnsi" w:eastAsia="Times New Roman" w:hAnsiTheme="majorHAnsi" w:cs="Arial"/>
          <w:color w:val="2B2D31"/>
          <w:kern w:val="0"/>
          <w:sz w:val="21"/>
          <w:szCs w:val="21"/>
          <w14:ligatures w14:val="none"/>
        </w:rPr>
        <w:t> Invest in structured funding rounds (seed, Series A, etc.) alongside other institutional investors. Ticket sizes vary significantly by stage and fund size.</w:t>
      </w:r>
    </w:p>
    <w:p w14:paraId="1C362628" w14:textId="77777777" w:rsidR="003563E6" w:rsidRPr="003563E6" w:rsidRDefault="003563E6" w:rsidP="003563E6">
      <w:pPr>
        <w:shd w:val="clear" w:color="auto" w:fill="FFFFFF"/>
        <w:spacing w:after="120" w:line="240" w:lineRule="auto"/>
        <w:outlineLvl w:val="2"/>
        <w:rPr>
          <w:rFonts w:asciiTheme="majorHAnsi" w:eastAsia="Times New Roman" w:hAnsiTheme="majorHAnsi" w:cs="Arial"/>
          <w:b/>
          <w:bCs/>
          <w:color w:val="2B2D31"/>
          <w:kern w:val="0"/>
          <w14:ligatures w14:val="none"/>
        </w:rPr>
      </w:pPr>
      <w:r w:rsidRPr="003563E6">
        <w:rPr>
          <w:rFonts w:asciiTheme="majorHAnsi" w:eastAsia="Times New Roman" w:hAnsiTheme="majorHAnsi" w:cs="Arial"/>
          <w:b/>
          <w:bCs/>
          <w:color w:val="2B2D31"/>
          <w:kern w:val="0"/>
          <w14:ligatures w14:val="none"/>
        </w:rPr>
        <w:t>Family Offices</w:t>
      </w:r>
    </w:p>
    <w:p w14:paraId="64629AE8" w14:textId="77777777" w:rsidR="003563E6" w:rsidRPr="003563E6" w:rsidRDefault="003563E6" w:rsidP="003563E6">
      <w:p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color w:val="2B2D31"/>
          <w:kern w:val="0"/>
          <w:sz w:val="21"/>
          <w:szCs w:val="21"/>
          <w14:ligatures w14:val="none"/>
        </w:rPr>
        <w:t>Family Offices manage the wealth of a single affluent family. Their primary goal is wealth preservation, capital growth across generations, and often, impact investing aligned with the family's values. They are not constrained by fund life cycles or external LPs.</w:t>
      </w:r>
    </w:p>
    <w:p w14:paraId="35DD8FF9" w14:textId="77777777" w:rsidR="003563E6" w:rsidRPr="003563E6" w:rsidRDefault="003563E6" w:rsidP="003563E6">
      <w:pPr>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Investment Criteria &amp; Characteristics:</w:t>
      </w:r>
    </w:p>
    <w:p w14:paraId="0FE90732" w14:textId="77777777" w:rsidR="003563E6" w:rsidRPr="003563E6" w:rsidRDefault="003563E6" w:rsidP="00FF46B4">
      <w:pPr>
        <w:numPr>
          <w:ilvl w:val="0"/>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Return Profile:</w:t>
      </w:r>
    </w:p>
    <w:p w14:paraId="79C5C46E" w14:textId="77777777" w:rsidR="003563E6" w:rsidRPr="003563E6" w:rsidRDefault="003563E6" w:rsidP="00FF46B4">
      <w:pPr>
        <w:numPr>
          <w:ilvl w:val="1"/>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Diverse:</w:t>
      </w:r>
      <w:r w:rsidRPr="003563E6">
        <w:rPr>
          <w:rFonts w:asciiTheme="majorHAnsi" w:eastAsia="Times New Roman" w:hAnsiTheme="majorHAnsi" w:cs="Arial"/>
          <w:color w:val="2B2D31"/>
          <w:kern w:val="0"/>
          <w:sz w:val="21"/>
          <w:szCs w:val="21"/>
          <w14:ligatures w14:val="none"/>
        </w:rPr>
        <w:t> Seek a range of returns from stable, income-generating assets to moderate growth, and sometimes high-growth opportunities. Wealth preservation is often paramount.</w:t>
      </w:r>
    </w:p>
    <w:p w14:paraId="330DA3CD" w14:textId="77777777" w:rsidR="003563E6" w:rsidRPr="003563E6" w:rsidRDefault="003563E6" w:rsidP="00FF46B4">
      <w:pPr>
        <w:numPr>
          <w:ilvl w:val="1"/>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Long-Term Growth:</w:t>
      </w:r>
      <w:r w:rsidRPr="003563E6">
        <w:rPr>
          <w:rFonts w:asciiTheme="majorHAnsi" w:eastAsia="Times New Roman" w:hAnsiTheme="majorHAnsi" w:cs="Arial"/>
          <w:color w:val="2B2D31"/>
          <w:kern w:val="0"/>
          <w:sz w:val="21"/>
          <w:szCs w:val="21"/>
          <w14:ligatures w14:val="none"/>
        </w:rPr>
        <w:t> May be content with lower returns than VCs if the investment aligns with long-term strategic goals or family values.</w:t>
      </w:r>
    </w:p>
    <w:p w14:paraId="2D51C26B" w14:textId="77777777" w:rsidR="003563E6" w:rsidRPr="003563E6" w:rsidRDefault="003563E6" w:rsidP="00FF46B4">
      <w:pPr>
        <w:numPr>
          <w:ilvl w:val="0"/>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Stage Focus:</w:t>
      </w:r>
    </w:p>
    <w:p w14:paraId="349C5FA2" w14:textId="77777777" w:rsidR="003563E6" w:rsidRPr="003563E6" w:rsidRDefault="003563E6" w:rsidP="00FF46B4">
      <w:pPr>
        <w:numPr>
          <w:ilvl w:val="1"/>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Flexible:</w:t>
      </w:r>
      <w:r w:rsidRPr="003563E6">
        <w:rPr>
          <w:rFonts w:asciiTheme="majorHAnsi" w:eastAsia="Times New Roman" w:hAnsiTheme="majorHAnsi" w:cs="Arial"/>
          <w:color w:val="2B2D31"/>
          <w:kern w:val="0"/>
          <w:sz w:val="21"/>
          <w:szCs w:val="21"/>
          <w14:ligatures w14:val="none"/>
        </w:rPr>
        <w:t> Can invest across all stages, from seed to late-stage growth equity, and even established private companies (private equity-like deals). They may be the sole investor or part of a syndicate.</w:t>
      </w:r>
    </w:p>
    <w:p w14:paraId="6E0D9EBE" w14:textId="77777777" w:rsidR="003563E6" w:rsidRPr="003563E6" w:rsidRDefault="003563E6" w:rsidP="00FF46B4">
      <w:pPr>
        <w:numPr>
          <w:ilvl w:val="0"/>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Risk Appetite:</w:t>
      </w:r>
    </w:p>
    <w:p w14:paraId="1B8FD783" w14:textId="096A7944" w:rsidR="003563E6" w:rsidRPr="003563E6" w:rsidRDefault="003563E6" w:rsidP="00FF46B4">
      <w:pPr>
        <w:numPr>
          <w:ilvl w:val="1"/>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Varied:</w:t>
      </w:r>
      <w:r w:rsidRPr="003563E6">
        <w:rPr>
          <w:rFonts w:asciiTheme="majorHAnsi" w:eastAsia="Times New Roman" w:hAnsiTheme="majorHAnsi" w:cs="Arial"/>
          <w:color w:val="2B2D31"/>
          <w:kern w:val="0"/>
          <w:sz w:val="21"/>
          <w:szCs w:val="21"/>
          <w14:ligatures w14:val="none"/>
        </w:rPr>
        <w:t xml:space="preserve"> Can range from conservative (focused on capital preservation) to aggressive (seeking high-growth opportunities), depending on the family's specific mandate, risk tolerance, and asset allocation strategy. They might be more willing to </w:t>
      </w:r>
      <w:r w:rsidRPr="003563E6">
        <w:rPr>
          <w:rFonts w:asciiTheme="majorHAnsi" w:eastAsia="Times New Roman" w:hAnsiTheme="majorHAnsi" w:cs="Arial"/>
          <w:color w:val="2B2D31"/>
          <w:kern w:val="0"/>
          <w:sz w:val="21"/>
          <w:szCs w:val="21"/>
          <w14:ligatures w14:val="none"/>
        </w:rPr>
        <w:t>take</w:t>
      </w:r>
      <w:r>
        <w:rPr>
          <w:rFonts w:asciiTheme="majorHAnsi" w:eastAsia="Times New Roman" w:hAnsiTheme="majorHAnsi" w:cs="Arial"/>
          <w:color w:val="2B2D31"/>
          <w:kern w:val="0"/>
          <w:sz w:val="21"/>
          <w:szCs w:val="21"/>
          <w14:ligatures w14:val="none"/>
        </w:rPr>
        <w:t xml:space="preserve">-on </w:t>
      </w:r>
      <w:r w:rsidRPr="003563E6">
        <w:rPr>
          <w:rFonts w:asciiTheme="majorHAnsi" w:eastAsia="Times New Roman" w:hAnsiTheme="majorHAnsi" w:cs="Arial"/>
          <w:color w:val="2B2D31"/>
          <w:kern w:val="0"/>
          <w:sz w:val="21"/>
          <w:szCs w:val="21"/>
          <w14:ligatures w14:val="none"/>
        </w:rPr>
        <w:t>"unconventional" risks if it aligns with family interests.</w:t>
      </w:r>
    </w:p>
    <w:p w14:paraId="784B730F" w14:textId="77777777" w:rsidR="003563E6" w:rsidRPr="003563E6" w:rsidRDefault="003563E6" w:rsidP="00FF46B4">
      <w:pPr>
        <w:numPr>
          <w:ilvl w:val="0"/>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Time Horizon:</w:t>
      </w:r>
    </w:p>
    <w:p w14:paraId="018A08AE" w14:textId="77777777" w:rsidR="003563E6" w:rsidRPr="003563E6" w:rsidRDefault="003563E6" w:rsidP="00FF46B4">
      <w:pPr>
        <w:numPr>
          <w:ilvl w:val="1"/>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Generational/Perpetual:</w:t>
      </w:r>
      <w:r w:rsidRPr="003563E6">
        <w:rPr>
          <w:rFonts w:asciiTheme="majorHAnsi" w:eastAsia="Times New Roman" w:hAnsiTheme="majorHAnsi" w:cs="Arial"/>
          <w:color w:val="2B2D31"/>
          <w:kern w:val="0"/>
          <w:sz w:val="21"/>
          <w:szCs w:val="21"/>
          <w14:ligatures w14:val="none"/>
        </w:rPr>
        <w:t> Not constrained by fund life. They can hold investments for very long periods (10+ years, even indefinitely) if the company continues to perform or serves a strategic purpose for the family.</w:t>
      </w:r>
    </w:p>
    <w:p w14:paraId="277BA300" w14:textId="77777777" w:rsidR="003563E6" w:rsidRPr="003563E6" w:rsidRDefault="003563E6" w:rsidP="00FF46B4">
      <w:pPr>
        <w:numPr>
          <w:ilvl w:val="0"/>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Sector Focus:</w:t>
      </w:r>
    </w:p>
    <w:p w14:paraId="4D28FBC9" w14:textId="7C0AD1BA" w:rsidR="003563E6" w:rsidRPr="003563E6" w:rsidRDefault="003563E6" w:rsidP="00FF46B4">
      <w:pPr>
        <w:numPr>
          <w:ilvl w:val="1"/>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Opportunistic or Personal Interest:</w:t>
      </w:r>
      <w:r w:rsidRPr="003563E6">
        <w:rPr>
          <w:rFonts w:asciiTheme="majorHAnsi" w:eastAsia="Times New Roman" w:hAnsiTheme="majorHAnsi" w:cs="Arial"/>
          <w:color w:val="2B2D31"/>
          <w:kern w:val="0"/>
          <w:sz w:val="21"/>
          <w:szCs w:val="21"/>
          <w14:ligatures w14:val="none"/>
        </w:rPr>
        <w:t xml:space="preserve"> Often driven by the family's personal passions, expertise from their core business, or unique insights. Less constrained by specific sector mandates than </w:t>
      </w:r>
      <w:r w:rsidRPr="003563E6">
        <w:rPr>
          <w:rFonts w:asciiTheme="majorHAnsi" w:eastAsia="Times New Roman" w:hAnsiTheme="majorHAnsi" w:cs="Arial"/>
          <w:color w:val="2B2D31"/>
          <w:kern w:val="0"/>
          <w:sz w:val="21"/>
          <w:szCs w:val="21"/>
          <w14:ligatures w14:val="none"/>
        </w:rPr>
        <w:t>VCs</w:t>
      </w:r>
      <w:r>
        <w:rPr>
          <w:rFonts w:asciiTheme="majorHAnsi" w:eastAsia="Times New Roman" w:hAnsiTheme="majorHAnsi" w:cs="Arial"/>
          <w:color w:val="2B2D31"/>
          <w:kern w:val="0"/>
          <w:sz w:val="21"/>
          <w:szCs w:val="21"/>
          <w14:ligatures w14:val="none"/>
        </w:rPr>
        <w:t xml:space="preserve"> but </w:t>
      </w:r>
      <w:r w:rsidRPr="003563E6">
        <w:rPr>
          <w:rFonts w:asciiTheme="majorHAnsi" w:eastAsia="Times New Roman" w:hAnsiTheme="majorHAnsi" w:cs="Arial"/>
          <w:color w:val="2B2D31"/>
          <w:kern w:val="0"/>
          <w:sz w:val="21"/>
          <w:szCs w:val="21"/>
          <w14:ligatures w14:val="none"/>
        </w:rPr>
        <w:t>can also specialize.</w:t>
      </w:r>
    </w:p>
    <w:p w14:paraId="3850299F" w14:textId="77777777" w:rsidR="003563E6" w:rsidRPr="003563E6" w:rsidRDefault="003563E6" w:rsidP="00FF46B4">
      <w:pPr>
        <w:numPr>
          <w:ilvl w:val="0"/>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Due Diligence:</w:t>
      </w:r>
    </w:p>
    <w:p w14:paraId="76598197" w14:textId="77777777" w:rsidR="003563E6" w:rsidRPr="003563E6" w:rsidRDefault="003563E6" w:rsidP="00FF46B4">
      <w:pPr>
        <w:numPr>
          <w:ilvl w:val="1"/>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Relationship-Driven &amp; Qualitative:</w:t>
      </w:r>
      <w:r w:rsidRPr="003563E6">
        <w:rPr>
          <w:rFonts w:asciiTheme="majorHAnsi" w:eastAsia="Times New Roman" w:hAnsiTheme="majorHAnsi" w:cs="Arial"/>
          <w:color w:val="2B2D31"/>
          <w:kern w:val="0"/>
          <w:sz w:val="21"/>
          <w:szCs w:val="21"/>
          <w14:ligatures w14:val="none"/>
        </w:rPr>
        <w:t> Can be more qualitative, valuing personal relationships, trust, and alignment with family values. While they do financial analysis, they might also prioritize the founder's character or the company's social impact.</w:t>
      </w:r>
    </w:p>
    <w:p w14:paraId="62CD6CF9" w14:textId="77777777" w:rsidR="003563E6" w:rsidRPr="003563E6" w:rsidRDefault="003563E6" w:rsidP="00FF46B4">
      <w:pPr>
        <w:numPr>
          <w:ilvl w:val="1"/>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Less Standardized:</w:t>
      </w:r>
      <w:r w:rsidRPr="003563E6">
        <w:rPr>
          <w:rFonts w:asciiTheme="majorHAnsi" w:eastAsia="Times New Roman" w:hAnsiTheme="majorHAnsi" w:cs="Arial"/>
          <w:color w:val="2B2D31"/>
          <w:kern w:val="0"/>
          <w:sz w:val="21"/>
          <w:szCs w:val="21"/>
          <w14:ligatures w14:val="none"/>
        </w:rPr>
        <w:t> Due diligence processes can vary significantly from one family office to another.</w:t>
      </w:r>
    </w:p>
    <w:p w14:paraId="7DDA74AE" w14:textId="77777777" w:rsidR="003563E6" w:rsidRPr="003563E6" w:rsidRDefault="003563E6" w:rsidP="00FF46B4">
      <w:pPr>
        <w:numPr>
          <w:ilvl w:val="0"/>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Board Involvement:</w:t>
      </w:r>
    </w:p>
    <w:p w14:paraId="40BB2A73" w14:textId="77777777" w:rsidR="003563E6" w:rsidRPr="003563E6" w:rsidRDefault="003563E6" w:rsidP="00FF46B4">
      <w:pPr>
        <w:numPr>
          <w:ilvl w:val="1"/>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Flexible:</w:t>
      </w:r>
      <w:r w:rsidRPr="003563E6">
        <w:rPr>
          <w:rFonts w:asciiTheme="majorHAnsi" w:eastAsia="Times New Roman" w:hAnsiTheme="majorHAnsi" w:cs="Arial"/>
          <w:color w:val="2B2D31"/>
          <w:kern w:val="0"/>
          <w:sz w:val="21"/>
          <w:szCs w:val="21"/>
          <w14:ligatures w14:val="none"/>
        </w:rPr>
        <w:t> Can be very active, taking board seats and providing deep operational guidance (especially if the investment is in a sector related to the family's original business), or can be entirely passive, depending on the family's preference and the deal.</w:t>
      </w:r>
    </w:p>
    <w:p w14:paraId="675865B3" w14:textId="77777777" w:rsidR="003563E6" w:rsidRPr="003563E6" w:rsidRDefault="003563E6" w:rsidP="00FF46B4">
      <w:pPr>
        <w:numPr>
          <w:ilvl w:val="0"/>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Liquidity Preferences:</w:t>
      </w:r>
    </w:p>
    <w:p w14:paraId="454281C2" w14:textId="77777777" w:rsidR="003563E6" w:rsidRPr="003563E6" w:rsidRDefault="003563E6" w:rsidP="00FF46B4">
      <w:pPr>
        <w:numPr>
          <w:ilvl w:val="1"/>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Less Urgent:</w:t>
      </w:r>
      <w:r w:rsidRPr="003563E6">
        <w:rPr>
          <w:rFonts w:asciiTheme="majorHAnsi" w:eastAsia="Times New Roman" w:hAnsiTheme="majorHAnsi" w:cs="Arial"/>
          <w:color w:val="2B2D31"/>
          <w:kern w:val="0"/>
          <w:sz w:val="21"/>
          <w:szCs w:val="21"/>
          <w14:ligatures w14:val="none"/>
        </w:rPr>
        <w:t> While they appreciate liquidity, they are not as pressured to achieve a quick exit. They can be patient capital, allowing companies more time to mature.</w:t>
      </w:r>
    </w:p>
    <w:p w14:paraId="2378C160" w14:textId="77777777" w:rsidR="003563E6" w:rsidRPr="003563E6" w:rsidRDefault="003563E6" w:rsidP="00FF46B4">
      <w:pPr>
        <w:numPr>
          <w:ilvl w:val="0"/>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lastRenderedPageBreak/>
        <w:t>Investment Size:</w:t>
      </w:r>
    </w:p>
    <w:p w14:paraId="6A9F47CE" w14:textId="77777777" w:rsidR="003563E6" w:rsidRPr="003563E6" w:rsidRDefault="003563E6" w:rsidP="00FF46B4">
      <w:pPr>
        <w:numPr>
          <w:ilvl w:val="1"/>
          <w:numId w:val="2"/>
        </w:numPr>
        <w:shd w:val="clear" w:color="auto" w:fill="FFFFFF"/>
        <w:spacing w:after="8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b/>
          <w:bCs/>
          <w:color w:val="2B2D31"/>
          <w:kern w:val="0"/>
          <w:sz w:val="21"/>
          <w:szCs w:val="21"/>
          <w14:ligatures w14:val="none"/>
        </w:rPr>
        <w:t>Flexible:</w:t>
      </w:r>
      <w:r w:rsidRPr="003563E6">
        <w:rPr>
          <w:rFonts w:asciiTheme="majorHAnsi" w:eastAsia="Times New Roman" w:hAnsiTheme="majorHAnsi" w:cs="Arial"/>
          <w:color w:val="2B2D31"/>
          <w:kern w:val="0"/>
          <w:sz w:val="21"/>
          <w:szCs w:val="21"/>
          <w14:ligatures w14:val="none"/>
        </w:rPr>
        <w:t> Can range from very small angel-like checks to very large growth equity rounds, often driven by the opportunity rather than a strict fund size. They can be more flexible on deal terms.</w:t>
      </w:r>
    </w:p>
    <w:p w14:paraId="7B92920F" w14:textId="77777777" w:rsidR="003563E6" w:rsidRPr="003563E6" w:rsidRDefault="003563E6" w:rsidP="003563E6">
      <w:pPr>
        <w:shd w:val="clear" w:color="auto" w:fill="FFFFFF"/>
        <w:spacing w:after="120" w:line="240" w:lineRule="auto"/>
        <w:outlineLvl w:val="2"/>
        <w:rPr>
          <w:rFonts w:asciiTheme="majorHAnsi" w:eastAsia="Times New Roman" w:hAnsiTheme="majorHAnsi" w:cs="Arial"/>
          <w:b/>
          <w:bCs/>
          <w:color w:val="2B2D31"/>
          <w:kern w:val="0"/>
          <w14:ligatures w14:val="none"/>
        </w:rPr>
      </w:pPr>
      <w:r w:rsidRPr="003563E6">
        <w:rPr>
          <w:rFonts w:asciiTheme="majorHAnsi" w:eastAsia="Times New Roman" w:hAnsiTheme="majorHAnsi" w:cs="Arial"/>
          <w:b/>
          <w:bCs/>
          <w:color w:val="2B2D31"/>
          <w:kern w:val="0"/>
          <w14:ligatures w14:val="none"/>
        </w:rPr>
        <w:t>Summary Table</w:t>
      </w:r>
    </w:p>
    <w:tbl>
      <w:tblPr>
        <w:tblW w:w="9540" w:type="dxa"/>
        <w:tblCellSpacing w:w="15" w:type="dxa"/>
        <w:tblCellMar>
          <w:top w:w="15" w:type="dxa"/>
          <w:left w:w="15" w:type="dxa"/>
          <w:bottom w:w="15" w:type="dxa"/>
          <w:right w:w="15" w:type="dxa"/>
        </w:tblCellMar>
        <w:tblLook w:val="04A0" w:firstRow="1" w:lastRow="0" w:firstColumn="1" w:lastColumn="0" w:noHBand="0" w:noVBand="1"/>
      </w:tblPr>
      <w:tblGrid>
        <w:gridCol w:w="1800"/>
        <w:gridCol w:w="3870"/>
        <w:gridCol w:w="3870"/>
      </w:tblGrid>
      <w:tr w:rsidR="003563E6" w:rsidRPr="003563E6" w14:paraId="4F3AC490" w14:textId="77777777" w:rsidTr="00251B5D">
        <w:trPr>
          <w:trHeight w:val="357"/>
          <w:tblCellSpacing w:w="15" w:type="dxa"/>
        </w:trPr>
        <w:tc>
          <w:tcPr>
            <w:tcW w:w="1755" w:type="dxa"/>
            <w:tcBorders>
              <w:top w:val="nil"/>
              <w:right w:val="nil"/>
            </w:tcBorders>
            <w:tcMar>
              <w:top w:w="90" w:type="dxa"/>
              <w:left w:w="180" w:type="dxa"/>
              <w:bottom w:w="90" w:type="dxa"/>
              <w:right w:w="180" w:type="dxa"/>
            </w:tcMar>
            <w:vAlign w:val="center"/>
            <w:hideMark/>
          </w:tcPr>
          <w:p w14:paraId="40FA3CB0" w14:textId="77777777" w:rsidR="003563E6" w:rsidRPr="003563E6" w:rsidRDefault="003563E6" w:rsidP="003563E6">
            <w:pPr>
              <w:spacing w:after="120" w:line="240" w:lineRule="auto"/>
              <w:rPr>
                <w:rFonts w:asciiTheme="majorHAnsi" w:eastAsia="Times New Roman" w:hAnsiTheme="majorHAnsi" w:cs="Arial"/>
                <w:b/>
                <w:bCs/>
                <w:kern w:val="0"/>
                <w:sz w:val="21"/>
                <w:szCs w:val="21"/>
                <w14:ligatures w14:val="none"/>
              </w:rPr>
            </w:pPr>
            <w:r w:rsidRPr="003563E6">
              <w:rPr>
                <w:rFonts w:asciiTheme="majorHAnsi" w:eastAsia="Times New Roman" w:hAnsiTheme="majorHAnsi" w:cs="Arial"/>
                <w:b/>
                <w:bCs/>
                <w:kern w:val="0"/>
                <w:sz w:val="21"/>
                <w:szCs w:val="21"/>
                <w14:ligatures w14:val="none"/>
              </w:rPr>
              <w:t>Feature</w:t>
            </w:r>
          </w:p>
        </w:tc>
        <w:tc>
          <w:tcPr>
            <w:tcW w:w="3840" w:type="dxa"/>
            <w:tcBorders>
              <w:top w:val="nil"/>
              <w:right w:val="nil"/>
            </w:tcBorders>
            <w:tcMar>
              <w:top w:w="90" w:type="dxa"/>
              <w:left w:w="180" w:type="dxa"/>
              <w:bottom w:w="90" w:type="dxa"/>
              <w:right w:w="180" w:type="dxa"/>
            </w:tcMar>
            <w:vAlign w:val="center"/>
            <w:hideMark/>
          </w:tcPr>
          <w:p w14:paraId="5AF713DD" w14:textId="77777777" w:rsidR="003563E6" w:rsidRPr="003563E6" w:rsidRDefault="003563E6" w:rsidP="003563E6">
            <w:pPr>
              <w:spacing w:after="120" w:line="240" w:lineRule="auto"/>
              <w:rPr>
                <w:rFonts w:asciiTheme="majorHAnsi" w:eastAsia="Times New Roman" w:hAnsiTheme="majorHAnsi" w:cs="Arial"/>
                <w:b/>
                <w:bCs/>
                <w:kern w:val="0"/>
                <w:sz w:val="21"/>
                <w:szCs w:val="21"/>
                <w14:ligatures w14:val="none"/>
              </w:rPr>
            </w:pPr>
            <w:r w:rsidRPr="003563E6">
              <w:rPr>
                <w:rFonts w:asciiTheme="majorHAnsi" w:eastAsia="Times New Roman" w:hAnsiTheme="majorHAnsi" w:cs="Arial"/>
                <w:b/>
                <w:bCs/>
                <w:kern w:val="0"/>
                <w:sz w:val="21"/>
                <w:szCs w:val="21"/>
                <w14:ligatures w14:val="none"/>
              </w:rPr>
              <w:t>Venture Capital (VC) Firms</w:t>
            </w:r>
          </w:p>
        </w:tc>
        <w:tc>
          <w:tcPr>
            <w:tcW w:w="3825" w:type="dxa"/>
            <w:tcBorders>
              <w:top w:val="nil"/>
              <w:right w:val="nil"/>
            </w:tcBorders>
            <w:tcMar>
              <w:top w:w="90" w:type="dxa"/>
              <w:left w:w="180" w:type="dxa"/>
              <w:bottom w:w="90" w:type="dxa"/>
              <w:right w:w="180" w:type="dxa"/>
            </w:tcMar>
            <w:vAlign w:val="center"/>
            <w:hideMark/>
          </w:tcPr>
          <w:p w14:paraId="53C1DCA7" w14:textId="77777777" w:rsidR="003563E6" w:rsidRPr="003563E6" w:rsidRDefault="003563E6" w:rsidP="003563E6">
            <w:pPr>
              <w:spacing w:after="120" w:line="240" w:lineRule="auto"/>
              <w:rPr>
                <w:rFonts w:asciiTheme="majorHAnsi" w:eastAsia="Times New Roman" w:hAnsiTheme="majorHAnsi" w:cs="Arial"/>
                <w:b/>
                <w:bCs/>
                <w:kern w:val="0"/>
                <w:sz w:val="21"/>
                <w:szCs w:val="21"/>
                <w14:ligatures w14:val="none"/>
              </w:rPr>
            </w:pPr>
            <w:r w:rsidRPr="003563E6">
              <w:rPr>
                <w:rFonts w:asciiTheme="majorHAnsi" w:eastAsia="Times New Roman" w:hAnsiTheme="majorHAnsi" w:cs="Arial"/>
                <w:b/>
                <w:bCs/>
                <w:kern w:val="0"/>
                <w:sz w:val="21"/>
                <w:szCs w:val="21"/>
                <w14:ligatures w14:val="none"/>
              </w:rPr>
              <w:t>Family Offices</w:t>
            </w:r>
          </w:p>
        </w:tc>
      </w:tr>
      <w:tr w:rsidR="003563E6" w:rsidRPr="003563E6" w14:paraId="3A4465B8" w14:textId="77777777" w:rsidTr="00251B5D">
        <w:trPr>
          <w:trHeight w:val="399"/>
          <w:tblCellSpacing w:w="15" w:type="dxa"/>
        </w:trPr>
        <w:tc>
          <w:tcPr>
            <w:tcW w:w="1755" w:type="dxa"/>
            <w:tcBorders>
              <w:right w:val="nil"/>
            </w:tcBorders>
            <w:tcMar>
              <w:top w:w="90" w:type="dxa"/>
              <w:left w:w="180" w:type="dxa"/>
              <w:bottom w:w="90" w:type="dxa"/>
              <w:right w:w="180" w:type="dxa"/>
            </w:tcMar>
            <w:vAlign w:val="center"/>
            <w:hideMark/>
          </w:tcPr>
          <w:p w14:paraId="1C93B69C"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b/>
                <w:bCs/>
                <w:kern w:val="0"/>
                <w:sz w:val="20"/>
                <w:szCs w:val="20"/>
                <w14:ligatures w14:val="none"/>
              </w:rPr>
              <w:t>Primary Goal</w:t>
            </w:r>
          </w:p>
        </w:tc>
        <w:tc>
          <w:tcPr>
            <w:tcW w:w="3840" w:type="dxa"/>
            <w:tcBorders>
              <w:right w:val="nil"/>
            </w:tcBorders>
            <w:tcMar>
              <w:top w:w="90" w:type="dxa"/>
              <w:left w:w="180" w:type="dxa"/>
              <w:bottom w:w="90" w:type="dxa"/>
              <w:right w:w="180" w:type="dxa"/>
            </w:tcMar>
            <w:vAlign w:val="center"/>
            <w:hideMark/>
          </w:tcPr>
          <w:p w14:paraId="69D14088"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Outsized financial returns (for LPs)</w:t>
            </w:r>
          </w:p>
        </w:tc>
        <w:tc>
          <w:tcPr>
            <w:tcW w:w="3825" w:type="dxa"/>
            <w:tcBorders>
              <w:right w:val="nil"/>
            </w:tcBorders>
            <w:tcMar>
              <w:top w:w="90" w:type="dxa"/>
              <w:left w:w="180" w:type="dxa"/>
              <w:bottom w:w="90" w:type="dxa"/>
              <w:right w:w="180" w:type="dxa"/>
            </w:tcMar>
            <w:vAlign w:val="center"/>
            <w:hideMark/>
          </w:tcPr>
          <w:p w14:paraId="1BA594A6"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Wealth preservation, generational growth, impact</w:t>
            </w:r>
          </w:p>
        </w:tc>
      </w:tr>
      <w:tr w:rsidR="003563E6" w:rsidRPr="003563E6" w14:paraId="1F50CB7C" w14:textId="77777777" w:rsidTr="00251B5D">
        <w:trPr>
          <w:trHeight w:val="372"/>
          <w:tblCellSpacing w:w="15" w:type="dxa"/>
        </w:trPr>
        <w:tc>
          <w:tcPr>
            <w:tcW w:w="1755" w:type="dxa"/>
            <w:tcBorders>
              <w:right w:val="nil"/>
            </w:tcBorders>
            <w:tcMar>
              <w:top w:w="90" w:type="dxa"/>
              <w:left w:w="180" w:type="dxa"/>
              <w:bottom w:w="90" w:type="dxa"/>
              <w:right w:w="180" w:type="dxa"/>
            </w:tcMar>
            <w:vAlign w:val="center"/>
            <w:hideMark/>
          </w:tcPr>
          <w:p w14:paraId="6CFF0D45"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b/>
                <w:bCs/>
                <w:kern w:val="0"/>
                <w:sz w:val="20"/>
                <w:szCs w:val="20"/>
                <w14:ligatures w14:val="none"/>
              </w:rPr>
              <w:t>Return Target</w:t>
            </w:r>
          </w:p>
        </w:tc>
        <w:tc>
          <w:tcPr>
            <w:tcW w:w="3840" w:type="dxa"/>
            <w:tcBorders>
              <w:right w:val="nil"/>
            </w:tcBorders>
            <w:tcMar>
              <w:top w:w="90" w:type="dxa"/>
              <w:left w:w="180" w:type="dxa"/>
              <w:bottom w:w="90" w:type="dxa"/>
              <w:right w:w="180" w:type="dxa"/>
            </w:tcMar>
            <w:vAlign w:val="center"/>
            <w:hideMark/>
          </w:tcPr>
          <w:p w14:paraId="0FAD1092"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10x+ (to offset failures)</w:t>
            </w:r>
          </w:p>
        </w:tc>
        <w:tc>
          <w:tcPr>
            <w:tcW w:w="3825" w:type="dxa"/>
            <w:tcBorders>
              <w:right w:val="nil"/>
            </w:tcBorders>
            <w:tcMar>
              <w:top w:w="90" w:type="dxa"/>
              <w:left w:w="180" w:type="dxa"/>
              <w:bottom w:w="90" w:type="dxa"/>
              <w:right w:w="180" w:type="dxa"/>
            </w:tcMar>
            <w:vAlign w:val="center"/>
            <w:hideMark/>
          </w:tcPr>
          <w:p w14:paraId="7D61784B"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Diverse (stable income to high growth), flexible</w:t>
            </w:r>
          </w:p>
        </w:tc>
      </w:tr>
      <w:tr w:rsidR="003563E6" w:rsidRPr="003563E6" w14:paraId="7C2252A7" w14:textId="77777777" w:rsidTr="00251B5D">
        <w:trPr>
          <w:trHeight w:val="327"/>
          <w:tblCellSpacing w:w="15" w:type="dxa"/>
        </w:trPr>
        <w:tc>
          <w:tcPr>
            <w:tcW w:w="1755" w:type="dxa"/>
            <w:tcBorders>
              <w:right w:val="nil"/>
            </w:tcBorders>
            <w:tcMar>
              <w:top w:w="90" w:type="dxa"/>
              <w:left w:w="180" w:type="dxa"/>
              <w:bottom w:w="90" w:type="dxa"/>
              <w:right w:w="180" w:type="dxa"/>
            </w:tcMar>
            <w:vAlign w:val="center"/>
            <w:hideMark/>
          </w:tcPr>
          <w:p w14:paraId="799B1FCC"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b/>
                <w:bCs/>
                <w:kern w:val="0"/>
                <w:sz w:val="20"/>
                <w:szCs w:val="20"/>
                <w14:ligatures w14:val="none"/>
              </w:rPr>
              <w:t>Time Horizon</w:t>
            </w:r>
          </w:p>
        </w:tc>
        <w:tc>
          <w:tcPr>
            <w:tcW w:w="3840" w:type="dxa"/>
            <w:tcBorders>
              <w:right w:val="nil"/>
            </w:tcBorders>
            <w:tcMar>
              <w:top w:w="90" w:type="dxa"/>
              <w:left w:w="180" w:type="dxa"/>
              <w:bottom w:w="90" w:type="dxa"/>
              <w:right w:w="180" w:type="dxa"/>
            </w:tcMar>
            <w:vAlign w:val="center"/>
            <w:hideMark/>
          </w:tcPr>
          <w:p w14:paraId="4F1FC773"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Medium (5-10 years, driven by fund life)</w:t>
            </w:r>
          </w:p>
        </w:tc>
        <w:tc>
          <w:tcPr>
            <w:tcW w:w="3825" w:type="dxa"/>
            <w:tcBorders>
              <w:right w:val="nil"/>
            </w:tcBorders>
            <w:tcMar>
              <w:top w:w="90" w:type="dxa"/>
              <w:left w:w="180" w:type="dxa"/>
              <w:bottom w:w="90" w:type="dxa"/>
              <w:right w:w="180" w:type="dxa"/>
            </w:tcMar>
            <w:vAlign w:val="center"/>
            <w:hideMark/>
          </w:tcPr>
          <w:p w14:paraId="113367D0"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Long-term / Perpetual (patient capital)</w:t>
            </w:r>
          </w:p>
        </w:tc>
      </w:tr>
      <w:tr w:rsidR="003563E6" w:rsidRPr="003563E6" w14:paraId="62E3F02F" w14:textId="77777777" w:rsidTr="00251B5D">
        <w:trPr>
          <w:trHeight w:val="471"/>
          <w:tblCellSpacing w:w="15" w:type="dxa"/>
        </w:trPr>
        <w:tc>
          <w:tcPr>
            <w:tcW w:w="1755" w:type="dxa"/>
            <w:tcBorders>
              <w:right w:val="nil"/>
            </w:tcBorders>
            <w:tcMar>
              <w:top w:w="90" w:type="dxa"/>
              <w:left w:w="180" w:type="dxa"/>
              <w:bottom w:w="90" w:type="dxa"/>
              <w:right w:w="180" w:type="dxa"/>
            </w:tcMar>
            <w:vAlign w:val="center"/>
            <w:hideMark/>
          </w:tcPr>
          <w:p w14:paraId="4BC9C46F"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b/>
                <w:bCs/>
                <w:kern w:val="0"/>
                <w:sz w:val="20"/>
                <w:szCs w:val="20"/>
                <w14:ligatures w14:val="none"/>
              </w:rPr>
              <w:t>Risk Appetite</w:t>
            </w:r>
          </w:p>
        </w:tc>
        <w:tc>
          <w:tcPr>
            <w:tcW w:w="3840" w:type="dxa"/>
            <w:tcBorders>
              <w:right w:val="nil"/>
            </w:tcBorders>
            <w:tcMar>
              <w:top w:w="90" w:type="dxa"/>
              <w:left w:w="180" w:type="dxa"/>
              <w:bottom w:w="90" w:type="dxa"/>
              <w:right w:w="180" w:type="dxa"/>
            </w:tcMar>
            <w:vAlign w:val="center"/>
            <w:hideMark/>
          </w:tcPr>
          <w:p w14:paraId="1681A23B"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High (comfort with early-stage failure)</w:t>
            </w:r>
          </w:p>
        </w:tc>
        <w:tc>
          <w:tcPr>
            <w:tcW w:w="3825" w:type="dxa"/>
            <w:tcBorders>
              <w:right w:val="nil"/>
            </w:tcBorders>
            <w:tcMar>
              <w:top w:w="90" w:type="dxa"/>
              <w:left w:w="180" w:type="dxa"/>
              <w:bottom w:w="90" w:type="dxa"/>
              <w:right w:w="180" w:type="dxa"/>
            </w:tcMar>
            <w:vAlign w:val="center"/>
            <w:hideMark/>
          </w:tcPr>
          <w:p w14:paraId="063964FD"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Varied (conservative to aggressive, flexible)</w:t>
            </w:r>
          </w:p>
        </w:tc>
      </w:tr>
      <w:tr w:rsidR="003563E6" w:rsidRPr="003563E6" w14:paraId="4E5DBF9E" w14:textId="77777777" w:rsidTr="00251B5D">
        <w:trPr>
          <w:trHeight w:val="426"/>
          <w:tblCellSpacing w:w="15" w:type="dxa"/>
        </w:trPr>
        <w:tc>
          <w:tcPr>
            <w:tcW w:w="1755" w:type="dxa"/>
            <w:tcBorders>
              <w:right w:val="nil"/>
            </w:tcBorders>
            <w:tcMar>
              <w:top w:w="90" w:type="dxa"/>
              <w:left w:w="180" w:type="dxa"/>
              <w:bottom w:w="90" w:type="dxa"/>
              <w:right w:w="180" w:type="dxa"/>
            </w:tcMar>
            <w:vAlign w:val="center"/>
            <w:hideMark/>
          </w:tcPr>
          <w:p w14:paraId="5D8236B4"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b/>
                <w:bCs/>
                <w:kern w:val="0"/>
                <w:sz w:val="20"/>
                <w:szCs w:val="20"/>
                <w14:ligatures w14:val="none"/>
              </w:rPr>
              <w:t>Stage Focus</w:t>
            </w:r>
          </w:p>
        </w:tc>
        <w:tc>
          <w:tcPr>
            <w:tcW w:w="3840" w:type="dxa"/>
            <w:tcBorders>
              <w:right w:val="nil"/>
            </w:tcBorders>
            <w:tcMar>
              <w:top w:w="90" w:type="dxa"/>
              <w:left w:w="180" w:type="dxa"/>
              <w:bottom w:w="90" w:type="dxa"/>
              <w:right w:w="180" w:type="dxa"/>
            </w:tcMar>
            <w:vAlign w:val="center"/>
            <w:hideMark/>
          </w:tcPr>
          <w:p w14:paraId="67798C5A" w14:textId="70DA4C1B"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 xml:space="preserve">Primarily </w:t>
            </w:r>
            <w:r w:rsidR="00251B5D" w:rsidRPr="00FF46B4">
              <w:rPr>
                <w:rFonts w:asciiTheme="majorHAnsi" w:eastAsia="Times New Roman" w:hAnsiTheme="majorHAnsi" w:cs="Arial"/>
                <w:kern w:val="0"/>
                <w:sz w:val="20"/>
                <w:szCs w:val="20"/>
                <w14:ligatures w14:val="none"/>
              </w:rPr>
              <w:t>early stage</w:t>
            </w:r>
            <w:r w:rsidRPr="003563E6">
              <w:rPr>
                <w:rFonts w:asciiTheme="majorHAnsi" w:eastAsia="Times New Roman" w:hAnsiTheme="majorHAnsi" w:cs="Arial"/>
                <w:kern w:val="0"/>
                <w:sz w:val="20"/>
                <w:szCs w:val="20"/>
                <w14:ligatures w14:val="none"/>
              </w:rPr>
              <w:t xml:space="preserve"> (Seed, Series A, B)</w:t>
            </w:r>
          </w:p>
        </w:tc>
        <w:tc>
          <w:tcPr>
            <w:tcW w:w="3825" w:type="dxa"/>
            <w:tcBorders>
              <w:right w:val="nil"/>
            </w:tcBorders>
            <w:tcMar>
              <w:top w:w="90" w:type="dxa"/>
              <w:left w:w="180" w:type="dxa"/>
              <w:bottom w:w="90" w:type="dxa"/>
              <w:right w:w="180" w:type="dxa"/>
            </w:tcMar>
            <w:vAlign w:val="center"/>
            <w:hideMark/>
          </w:tcPr>
          <w:p w14:paraId="3D0A474A"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All stages (Seed to late-stage, private equity)</w:t>
            </w:r>
          </w:p>
        </w:tc>
      </w:tr>
      <w:tr w:rsidR="003563E6" w:rsidRPr="003563E6" w14:paraId="55B09ECA" w14:textId="77777777" w:rsidTr="00251B5D">
        <w:trPr>
          <w:trHeight w:val="399"/>
          <w:tblCellSpacing w:w="15" w:type="dxa"/>
        </w:trPr>
        <w:tc>
          <w:tcPr>
            <w:tcW w:w="1755" w:type="dxa"/>
            <w:tcBorders>
              <w:right w:val="nil"/>
            </w:tcBorders>
            <w:tcMar>
              <w:top w:w="90" w:type="dxa"/>
              <w:left w:w="180" w:type="dxa"/>
              <w:bottom w:w="90" w:type="dxa"/>
              <w:right w:w="180" w:type="dxa"/>
            </w:tcMar>
            <w:vAlign w:val="center"/>
            <w:hideMark/>
          </w:tcPr>
          <w:p w14:paraId="7D8CF327"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b/>
                <w:bCs/>
                <w:kern w:val="0"/>
                <w:sz w:val="20"/>
                <w:szCs w:val="20"/>
                <w14:ligatures w14:val="none"/>
              </w:rPr>
              <w:t>Sector Focus</w:t>
            </w:r>
          </w:p>
        </w:tc>
        <w:tc>
          <w:tcPr>
            <w:tcW w:w="3840" w:type="dxa"/>
            <w:tcBorders>
              <w:right w:val="nil"/>
            </w:tcBorders>
            <w:tcMar>
              <w:top w:w="90" w:type="dxa"/>
              <w:left w:w="180" w:type="dxa"/>
              <w:bottom w:w="90" w:type="dxa"/>
              <w:right w:w="180" w:type="dxa"/>
            </w:tcMar>
            <w:vAlign w:val="center"/>
            <w:hideMark/>
          </w:tcPr>
          <w:p w14:paraId="23590872"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Specialized (e.g., Tech, Biotech)</w:t>
            </w:r>
          </w:p>
        </w:tc>
        <w:tc>
          <w:tcPr>
            <w:tcW w:w="3825" w:type="dxa"/>
            <w:tcBorders>
              <w:right w:val="nil"/>
            </w:tcBorders>
            <w:tcMar>
              <w:top w:w="90" w:type="dxa"/>
              <w:left w:w="180" w:type="dxa"/>
              <w:bottom w:w="90" w:type="dxa"/>
              <w:right w:w="180" w:type="dxa"/>
            </w:tcMar>
            <w:vAlign w:val="center"/>
            <w:hideMark/>
          </w:tcPr>
          <w:p w14:paraId="29A5B8D5"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Opportunistic, driven by family interest/expertise</w:t>
            </w:r>
          </w:p>
        </w:tc>
      </w:tr>
      <w:tr w:rsidR="003563E6" w:rsidRPr="003563E6" w14:paraId="32FD9BFC" w14:textId="77777777" w:rsidTr="00251B5D">
        <w:trPr>
          <w:trHeight w:val="552"/>
          <w:tblCellSpacing w:w="15" w:type="dxa"/>
        </w:trPr>
        <w:tc>
          <w:tcPr>
            <w:tcW w:w="1755" w:type="dxa"/>
            <w:tcBorders>
              <w:right w:val="nil"/>
            </w:tcBorders>
            <w:tcMar>
              <w:top w:w="90" w:type="dxa"/>
              <w:left w:w="180" w:type="dxa"/>
              <w:bottom w:w="90" w:type="dxa"/>
              <w:right w:w="180" w:type="dxa"/>
            </w:tcMar>
            <w:vAlign w:val="center"/>
            <w:hideMark/>
          </w:tcPr>
          <w:p w14:paraId="73C89C4C"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b/>
                <w:bCs/>
                <w:kern w:val="0"/>
                <w:sz w:val="20"/>
                <w:szCs w:val="20"/>
                <w14:ligatures w14:val="none"/>
              </w:rPr>
              <w:t>Due Diligence</w:t>
            </w:r>
          </w:p>
        </w:tc>
        <w:tc>
          <w:tcPr>
            <w:tcW w:w="3840" w:type="dxa"/>
            <w:tcBorders>
              <w:right w:val="nil"/>
            </w:tcBorders>
            <w:tcMar>
              <w:top w:w="90" w:type="dxa"/>
              <w:left w:w="180" w:type="dxa"/>
              <w:bottom w:w="90" w:type="dxa"/>
              <w:right w:w="180" w:type="dxa"/>
            </w:tcMar>
            <w:vAlign w:val="center"/>
            <w:hideMark/>
          </w:tcPr>
          <w:p w14:paraId="7221058B"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Metrics-driven, rigorous, often aggressive</w:t>
            </w:r>
          </w:p>
        </w:tc>
        <w:tc>
          <w:tcPr>
            <w:tcW w:w="3825" w:type="dxa"/>
            <w:tcBorders>
              <w:right w:val="nil"/>
            </w:tcBorders>
            <w:tcMar>
              <w:top w:w="90" w:type="dxa"/>
              <w:left w:w="180" w:type="dxa"/>
              <w:bottom w:w="90" w:type="dxa"/>
              <w:right w:w="180" w:type="dxa"/>
            </w:tcMar>
            <w:vAlign w:val="center"/>
            <w:hideMark/>
          </w:tcPr>
          <w:p w14:paraId="77DEA219"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Relationship-driven, qualitative, varied, flexible</w:t>
            </w:r>
          </w:p>
        </w:tc>
      </w:tr>
      <w:tr w:rsidR="003563E6" w:rsidRPr="003563E6" w14:paraId="61956BC8" w14:textId="77777777" w:rsidTr="003563E6">
        <w:trPr>
          <w:tblCellSpacing w:w="15" w:type="dxa"/>
        </w:trPr>
        <w:tc>
          <w:tcPr>
            <w:tcW w:w="1755" w:type="dxa"/>
            <w:tcBorders>
              <w:right w:val="nil"/>
            </w:tcBorders>
            <w:tcMar>
              <w:top w:w="90" w:type="dxa"/>
              <w:left w:w="180" w:type="dxa"/>
              <w:bottom w:w="90" w:type="dxa"/>
              <w:right w:w="180" w:type="dxa"/>
            </w:tcMar>
            <w:vAlign w:val="center"/>
            <w:hideMark/>
          </w:tcPr>
          <w:p w14:paraId="4655D29C"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b/>
                <w:bCs/>
                <w:kern w:val="0"/>
                <w:sz w:val="20"/>
                <w:szCs w:val="20"/>
                <w14:ligatures w14:val="none"/>
              </w:rPr>
              <w:t>Board Involvement</w:t>
            </w:r>
          </w:p>
        </w:tc>
        <w:tc>
          <w:tcPr>
            <w:tcW w:w="3840" w:type="dxa"/>
            <w:tcBorders>
              <w:right w:val="nil"/>
            </w:tcBorders>
            <w:tcMar>
              <w:top w:w="90" w:type="dxa"/>
              <w:left w:w="180" w:type="dxa"/>
              <w:bottom w:w="90" w:type="dxa"/>
              <w:right w:w="180" w:type="dxa"/>
            </w:tcMar>
            <w:vAlign w:val="center"/>
            <w:hideMark/>
          </w:tcPr>
          <w:p w14:paraId="657D901F"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Active, strategic guidance</w:t>
            </w:r>
          </w:p>
        </w:tc>
        <w:tc>
          <w:tcPr>
            <w:tcW w:w="3825" w:type="dxa"/>
            <w:tcBorders>
              <w:right w:val="nil"/>
            </w:tcBorders>
            <w:tcMar>
              <w:top w:w="90" w:type="dxa"/>
              <w:left w:w="180" w:type="dxa"/>
              <w:bottom w:w="90" w:type="dxa"/>
              <w:right w:w="180" w:type="dxa"/>
            </w:tcMar>
            <w:vAlign w:val="center"/>
            <w:hideMark/>
          </w:tcPr>
          <w:p w14:paraId="1D0EF338"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Flexible (active to passive)</w:t>
            </w:r>
          </w:p>
        </w:tc>
      </w:tr>
      <w:tr w:rsidR="003563E6" w:rsidRPr="003563E6" w14:paraId="525EC0FB" w14:textId="77777777" w:rsidTr="00251B5D">
        <w:trPr>
          <w:trHeight w:val="570"/>
          <w:tblCellSpacing w:w="15" w:type="dxa"/>
        </w:trPr>
        <w:tc>
          <w:tcPr>
            <w:tcW w:w="1755" w:type="dxa"/>
            <w:tcBorders>
              <w:right w:val="nil"/>
            </w:tcBorders>
            <w:tcMar>
              <w:top w:w="90" w:type="dxa"/>
              <w:left w:w="180" w:type="dxa"/>
              <w:bottom w:w="90" w:type="dxa"/>
              <w:right w:w="180" w:type="dxa"/>
            </w:tcMar>
            <w:vAlign w:val="center"/>
            <w:hideMark/>
          </w:tcPr>
          <w:p w14:paraId="3C54B997"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b/>
                <w:bCs/>
                <w:kern w:val="0"/>
                <w:sz w:val="20"/>
                <w:szCs w:val="20"/>
                <w14:ligatures w14:val="none"/>
              </w:rPr>
              <w:t>Exit Pressure</w:t>
            </w:r>
          </w:p>
        </w:tc>
        <w:tc>
          <w:tcPr>
            <w:tcW w:w="3840" w:type="dxa"/>
            <w:tcBorders>
              <w:right w:val="nil"/>
            </w:tcBorders>
            <w:tcMar>
              <w:top w:w="90" w:type="dxa"/>
              <w:left w:w="180" w:type="dxa"/>
              <w:bottom w:w="90" w:type="dxa"/>
              <w:right w:w="180" w:type="dxa"/>
            </w:tcMar>
            <w:vAlign w:val="center"/>
            <w:hideMark/>
          </w:tcPr>
          <w:p w14:paraId="196098D8"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High (need to return capital to LPs)</w:t>
            </w:r>
          </w:p>
        </w:tc>
        <w:tc>
          <w:tcPr>
            <w:tcW w:w="3825" w:type="dxa"/>
            <w:tcBorders>
              <w:right w:val="nil"/>
            </w:tcBorders>
            <w:tcMar>
              <w:top w:w="90" w:type="dxa"/>
              <w:left w:w="180" w:type="dxa"/>
              <w:bottom w:w="90" w:type="dxa"/>
              <w:right w:w="180" w:type="dxa"/>
            </w:tcMar>
            <w:vAlign w:val="center"/>
            <w:hideMark/>
          </w:tcPr>
          <w:p w14:paraId="29D458C8"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Low (patient capital, no fund life constraints)</w:t>
            </w:r>
          </w:p>
        </w:tc>
      </w:tr>
      <w:tr w:rsidR="003563E6" w:rsidRPr="003563E6" w14:paraId="30C5E185" w14:textId="77777777" w:rsidTr="003563E6">
        <w:trPr>
          <w:tblCellSpacing w:w="15" w:type="dxa"/>
        </w:trPr>
        <w:tc>
          <w:tcPr>
            <w:tcW w:w="1755" w:type="dxa"/>
            <w:tcBorders>
              <w:right w:val="nil"/>
            </w:tcBorders>
            <w:tcMar>
              <w:top w:w="90" w:type="dxa"/>
              <w:left w:w="180" w:type="dxa"/>
              <w:bottom w:w="90" w:type="dxa"/>
              <w:right w:w="180" w:type="dxa"/>
            </w:tcMar>
            <w:vAlign w:val="center"/>
            <w:hideMark/>
          </w:tcPr>
          <w:p w14:paraId="181E2C3C"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b/>
                <w:bCs/>
                <w:kern w:val="0"/>
                <w:sz w:val="20"/>
                <w:szCs w:val="20"/>
                <w14:ligatures w14:val="none"/>
              </w:rPr>
              <w:t>Investment Size</w:t>
            </w:r>
          </w:p>
        </w:tc>
        <w:tc>
          <w:tcPr>
            <w:tcW w:w="3840" w:type="dxa"/>
            <w:tcBorders>
              <w:right w:val="nil"/>
            </w:tcBorders>
            <w:tcMar>
              <w:top w:w="90" w:type="dxa"/>
              <w:left w:w="180" w:type="dxa"/>
              <w:bottom w:w="90" w:type="dxa"/>
              <w:right w:w="180" w:type="dxa"/>
            </w:tcMar>
            <w:vAlign w:val="center"/>
            <w:hideMark/>
          </w:tcPr>
          <w:p w14:paraId="5893C579"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Structured rounds, specific ticket sizes by stage</w:t>
            </w:r>
          </w:p>
        </w:tc>
        <w:tc>
          <w:tcPr>
            <w:tcW w:w="3825" w:type="dxa"/>
            <w:tcBorders>
              <w:right w:val="nil"/>
            </w:tcBorders>
            <w:tcMar>
              <w:top w:w="90" w:type="dxa"/>
              <w:left w:w="180" w:type="dxa"/>
              <w:bottom w:w="90" w:type="dxa"/>
              <w:right w:w="180" w:type="dxa"/>
            </w:tcMar>
            <w:vAlign w:val="center"/>
            <w:hideMark/>
          </w:tcPr>
          <w:p w14:paraId="380B9E55"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Highly flexible</w:t>
            </w:r>
          </w:p>
        </w:tc>
      </w:tr>
      <w:tr w:rsidR="003563E6" w:rsidRPr="003563E6" w14:paraId="679445F8" w14:textId="77777777" w:rsidTr="003563E6">
        <w:trPr>
          <w:tblCellSpacing w:w="15" w:type="dxa"/>
        </w:trPr>
        <w:tc>
          <w:tcPr>
            <w:tcW w:w="1755" w:type="dxa"/>
            <w:tcBorders>
              <w:right w:val="nil"/>
            </w:tcBorders>
            <w:tcMar>
              <w:top w:w="90" w:type="dxa"/>
              <w:left w:w="180" w:type="dxa"/>
              <w:bottom w:w="90" w:type="dxa"/>
              <w:right w:w="180" w:type="dxa"/>
            </w:tcMar>
            <w:vAlign w:val="center"/>
            <w:hideMark/>
          </w:tcPr>
          <w:p w14:paraId="32697F76"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b/>
                <w:bCs/>
                <w:kern w:val="0"/>
                <w:sz w:val="20"/>
                <w:szCs w:val="20"/>
                <w14:ligatures w14:val="none"/>
              </w:rPr>
              <w:t>Decision Process</w:t>
            </w:r>
          </w:p>
        </w:tc>
        <w:tc>
          <w:tcPr>
            <w:tcW w:w="3840" w:type="dxa"/>
            <w:tcBorders>
              <w:right w:val="nil"/>
            </w:tcBorders>
            <w:tcMar>
              <w:top w:w="90" w:type="dxa"/>
              <w:left w:w="180" w:type="dxa"/>
              <w:bottom w:w="90" w:type="dxa"/>
              <w:right w:w="180" w:type="dxa"/>
            </w:tcMar>
            <w:vAlign w:val="center"/>
            <w:hideMark/>
          </w:tcPr>
          <w:p w14:paraId="144BAB09"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Committee-based, structured</w:t>
            </w:r>
          </w:p>
        </w:tc>
        <w:tc>
          <w:tcPr>
            <w:tcW w:w="3825" w:type="dxa"/>
            <w:tcBorders>
              <w:right w:val="nil"/>
            </w:tcBorders>
            <w:tcMar>
              <w:top w:w="90" w:type="dxa"/>
              <w:left w:w="180" w:type="dxa"/>
              <w:bottom w:w="90" w:type="dxa"/>
              <w:right w:w="180" w:type="dxa"/>
            </w:tcMar>
            <w:vAlign w:val="center"/>
            <w:hideMark/>
          </w:tcPr>
          <w:p w14:paraId="35ED3197" w14:textId="77777777" w:rsidR="003563E6" w:rsidRPr="003563E6" w:rsidRDefault="003563E6" w:rsidP="003563E6">
            <w:pPr>
              <w:spacing w:after="120" w:line="240" w:lineRule="auto"/>
              <w:rPr>
                <w:rFonts w:asciiTheme="majorHAnsi" w:eastAsia="Times New Roman" w:hAnsiTheme="majorHAnsi" w:cs="Arial"/>
                <w:kern w:val="0"/>
                <w:sz w:val="20"/>
                <w:szCs w:val="20"/>
                <w14:ligatures w14:val="none"/>
              </w:rPr>
            </w:pPr>
            <w:r w:rsidRPr="003563E6">
              <w:rPr>
                <w:rFonts w:asciiTheme="majorHAnsi" w:eastAsia="Times New Roman" w:hAnsiTheme="majorHAnsi" w:cs="Arial"/>
                <w:kern w:val="0"/>
                <w:sz w:val="20"/>
                <w:szCs w:val="20"/>
                <w14:ligatures w14:val="none"/>
              </w:rPr>
              <w:t>Can be more centralized, faster, less bureaucratic</w:t>
            </w:r>
          </w:p>
        </w:tc>
      </w:tr>
    </w:tbl>
    <w:p w14:paraId="3E4D2C50" w14:textId="77777777" w:rsidR="003563E6" w:rsidRPr="003563E6" w:rsidRDefault="003563E6" w:rsidP="00251B5D">
      <w:pPr>
        <w:shd w:val="clear" w:color="auto" w:fill="FFFFFF"/>
        <w:spacing w:before="120"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color w:val="2B2D31"/>
          <w:kern w:val="0"/>
          <w:sz w:val="21"/>
          <w:szCs w:val="21"/>
          <w14:ligatures w14:val="none"/>
        </w:rPr>
        <w:t>In essence, VCs are structured machines designed for aggressive growth and relatively quick exits, whereas Family Offices are more bespoke, patient, and value-driven investors with significantly greater flexibility in how they deploy capital.</w:t>
      </w:r>
    </w:p>
    <w:p w14:paraId="323A915E" w14:textId="115BB3E7" w:rsidR="00A03483" w:rsidRPr="003563E6" w:rsidRDefault="003563E6" w:rsidP="00FF46B4">
      <w:pPr>
        <w:widowControl w:val="0"/>
        <w:shd w:val="clear" w:color="auto" w:fill="FFFFFF"/>
        <w:spacing w:after="120" w:line="240" w:lineRule="auto"/>
        <w:rPr>
          <w:rFonts w:asciiTheme="majorHAnsi" w:eastAsia="Times New Roman" w:hAnsiTheme="majorHAnsi" w:cs="Arial"/>
          <w:color w:val="2B2D31"/>
          <w:kern w:val="0"/>
          <w:sz w:val="21"/>
          <w:szCs w:val="21"/>
          <w14:ligatures w14:val="none"/>
        </w:rPr>
      </w:pPr>
      <w:r w:rsidRPr="003563E6">
        <w:rPr>
          <w:rFonts w:asciiTheme="majorHAnsi" w:eastAsia="Times New Roman" w:hAnsiTheme="majorHAnsi" w:cs="Arial"/>
          <w:color w:val="2B2D31"/>
          <w:kern w:val="0"/>
          <w:sz w:val="21"/>
          <w:szCs w:val="21"/>
          <w14:ligatures w14:val="none"/>
        </w:rPr>
        <w:t>Here's an image depicting two distinct investment paths converging on a growing business, with one path representing a more structured, high-growth focus (VC) and the other a more flexible, long-term approach (Family Office).</w:t>
      </w:r>
    </w:p>
    <w:sectPr w:rsidR="00A03483" w:rsidRPr="003563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94D20"/>
    <w:multiLevelType w:val="multilevel"/>
    <w:tmpl w:val="53FC51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5F7A68"/>
    <w:multiLevelType w:val="multilevel"/>
    <w:tmpl w:val="8D72F8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3383212">
    <w:abstractNumId w:val="0"/>
  </w:num>
  <w:num w:numId="2" w16cid:durableId="1747603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UwMTY0NTU2MDA1s7RU0lEKTi0uzszPAykwrAUAtkyZUiwAAAA="/>
  </w:docVars>
  <w:rsids>
    <w:rsidRoot w:val="003563E6"/>
    <w:rsid w:val="00251B5D"/>
    <w:rsid w:val="003563E6"/>
    <w:rsid w:val="005020E7"/>
    <w:rsid w:val="00611915"/>
    <w:rsid w:val="0098613E"/>
    <w:rsid w:val="00A03483"/>
    <w:rsid w:val="00F60928"/>
    <w:rsid w:val="00FF4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F2B8C"/>
  <w15:chartTrackingRefBased/>
  <w15:docId w15:val="{CCF78DFC-0597-4D96-BF19-A907FFE2B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63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63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563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63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63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63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3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3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3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3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63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563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63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63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63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3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3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3E6"/>
    <w:rPr>
      <w:rFonts w:eastAsiaTheme="majorEastAsia" w:cstheme="majorBidi"/>
      <w:color w:val="272727" w:themeColor="text1" w:themeTint="D8"/>
    </w:rPr>
  </w:style>
  <w:style w:type="paragraph" w:styleId="Title">
    <w:name w:val="Title"/>
    <w:basedOn w:val="Normal"/>
    <w:next w:val="Normal"/>
    <w:link w:val="TitleChar"/>
    <w:uiPriority w:val="10"/>
    <w:qFormat/>
    <w:rsid w:val="003563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3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3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3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3E6"/>
    <w:pPr>
      <w:spacing w:before="160"/>
      <w:jc w:val="center"/>
    </w:pPr>
    <w:rPr>
      <w:i/>
      <w:iCs/>
      <w:color w:val="404040" w:themeColor="text1" w:themeTint="BF"/>
    </w:rPr>
  </w:style>
  <w:style w:type="character" w:customStyle="1" w:styleId="QuoteChar">
    <w:name w:val="Quote Char"/>
    <w:basedOn w:val="DefaultParagraphFont"/>
    <w:link w:val="Quote"/>
    <w:uiPriority w:val="29"/>
    <w:rsid w:val="003563E6"/>
    <w:rPr>
      <w:i/>
      <w:iCs/>
      <w:color w:val="404040" w:themeColor="text1" w:themeTint="BF"/>
    </w:rPr>
  </w:style>
  <w:style w:type="paragraph" w:styleId="ListParagraph">
    <w:name w:val="List Paragraph"/>
    <w:basedOn w:val="Normal"/>
    <w:uiPriority w:val="34"/>
    <w:qFormat/>
    <w:rsid w:val="003563E6"/>
    <w:pPr>
      <w:ind w:left="720"/>
      <w:contextualSpacing/>
    </w:pPr>
  </w:style>
  <w:style w:type="character" w:styleId="IntenseEmphasis">
    <w:name w:val="Intense Emphasis"/>
    <w:basedOn w:val="DefaultParagraphFont"/>
    <w:uiPriority w:val="21"/>
    <w:qFormat/>
    <w:rsid w:val="003563E6"/>
    <w:rPr>
      <w:i/>
      <w:iCs/>
      <w:color w:val="0F4761" w:themeColor="accent1" w:themeShade="BF"/>
    </w:rPr>
  </w:style>
  <w:style w:type="paragraph" w:styleId="IntenseQuote">
    <w:name w:val="Intense Quote"/>
    <w:basedOn w:val="Normal"/>
    <w:next w:val="Normal"/>
    <w:link w:val="IntenseQuoteChar"/>
    <w:uiPriority w:val="30"/>
    <w:qFormat/>
    <w:rsid w:val="003563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63E6"/>
    <w:rPr>
      <w:i/>
      <w:iCs/>
      <w:color w:val="0F4761" w:themeColor="accent1" w:themeShade="BF"/>
    </w:rPr>
  </w:style>
  <w:style w:type="character" w:styleId="IntenseReference">
    <w:name w:val="Intense Reference"/>
    <w:basedOn w:val="DefaultParagraphFont"/>
    <w:uiPriority w:val="32"/>
    <w:qFormat/>
    <w:rsid w:val="003563E6"/>
    <w:rPr>
      <w:b/>
      <w:bCs/>
      <w:smallCaps/>
      <w:color w:val="0F4761" w:themeColor="accent1" w:themeShade="BF"/>
      <w:spacing w:val="5"/>
    </w:rPr>
  </w:style>
  <w:style w:type="paragraph" w:customStyle="1" w:styleId="ng-star-inserted">
    <w:name w:val="ng-star-inserted"/>
    <w:basedOn w:val="Normal"/>
    <w:rsid w:val="003563E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1">
    <w:name w:val="ng-star-inserted1"/>
    <w:basedOn w:val="DefaultParagraphFont"/>
    <w:rsid w:val="00356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995</Words>
  <Characters>5942</Characters>
  <Application>Microsoft Office Word</Application>
  <DocSecurity>0</DocSecurity>
  <Lines>152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MJ</cp:lastModifiedBy>
  <cp:revision>2</cp:revision>
  <dcterms:created xsi:type="dcterms:W3CDTF">2026-02-17T23:05:00Z</dcterms:created>
  <dcterms:modified xsi:type="dcterms:W3CDTF">2026-02-17T23:20:00Z</dcterms:modified>
</cp:coreProperties>
</file>