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7BB1D" w14:textId="77777777" w:rsidR="005569B6" w:rsidRPr="005569B6" w:rsidRDefault="005569B6" w:rsidP="005569B6">
      <w:pPr>
        <w:spacing w:before="100" w:beforeAutospacing="1" w:after="100" w:afterAutospacing="1" w:line="240" w:lineRule="auto"/>
        <w:rPr>
          <w:rFonts w:eastAsia="Times New Roman" w:cs="Times New Roman"/>
          <w:kern w:val="0"/>
          <w:sz w:val="21"/>
          <w:szCs w:val="21"/>
          <w14:ligatures w14:val="none"/>
        </w:rPr>
      </w:pPr>
      <w:r w:rsidRPr="005569B6">
        <w:rPr>
          <w:rFonts w:eastAsia="Times New Roman" w:cs="Times New Roman"/>
          <w:kern w:val="0"/>
          <w:sz w:val="21"/>
          <w:szCs w:val="21"/>
          <w14:ligatures w14:val="none"/>
        </w:rPr>
        <w:t>The Asian outbound remittance market is unique because it contains several "Tier 1" financial hubs (Singapore, Hong Kong) and several "Labor Hubs" (Japan, South Korea, Malaysia, Thailand) that host millions of migrant workers from the rest of the continent.</w:t>
      </w:r>
    </w:p>
    <w:p w14:paraId="7C3233F4" w14:textId="77777777" w:rsidR="005569B6" w:rsidRPr="005569B6" w:rsidRDefault="005569B6" w:rsidP="005569B6">
      <w:pPr>
        <w:spacing w:before="100" w:beforeAutospacing="1" w:after="100" w:afterAutospacing="1" w:line="240" w:lineRule="auto"/>
        <w:rPr>
          <w:rFonts w:eastAsia="Times New Roman" w:cs="Times New Roman"/>
          <w:kern w:val="0"/>
          <w:sz w:val="21"/>
          <w:szCs w:val="21"/>
          <w14:ligatures w14:val="none"/>
        </w:rPr>
      </w:pPr>
      <w:r w:rsidRPr="005569B6">
        <w:rPr>
          <w:rFonts w:eastAsia="Times New Roman" w:cs="Times New Roman"/>
          <w:kern w:val="0"/>
          <w:sz w:val="21"/>
          <w:szCs w:val="21"/>
          <w14:ligatures w14:val="none"/>
        </w:rPr>
        <w:t xml:space="preserve">The data provided below is based on </w:t>
      </w:r>
      <w:r w:rsidRPr="005569B6">
        <w:rPr>
          <w:rFonts w:eastAsia="Times New Roman" w:cs="Times New Roman"/>
          <w:b/>
          <w:bCs/>
          <w:kern w:val="0"/>
          <w:sz w:val="21"/>
          <w:szCs w:val="21"/>
          <w14:ligatures w14:val="none"/>
        </w:rPr>
        <w:t>full-year 2024 historical data and H1 2025 estimates</w:t>
      </w:r>
      <w:r w:rsidRPr="005569B6">
        <w:rPr>
          <w:rFonts w:eastAsia="Times New Roman" w:cs="Times New Roman"/>
          <w:kern w:val="0"/>
          <w:sz w:val="21"/>
          <w:szCs w:val="21"/>
          <w14:ligatures w14:val="none"/>
        </w:rPr>
        <w:t xml:space="preserve">, consolidated from the </w:t>
      </w:r>
      <w:r w:rsidRPr="005569B6">
        <w:rPr>
          <w:rFonts w:eastAsia="Times New Roman" w:cs="Times New Roman"/>
          <w:b/>
          <w:bCs/>
          <w:kern w:val="0"/>
          <w:sz w:val="21"/>
          <w:szCs w:val="21"/>
          <w14:ligatures w14:val="none"/>
        </w:rPr>
        <w:t>World Bank’s Remittance Prices Worldwide (RPW)</w:t>
      </w:r>
      <w:r w:rsidRPr="005569B6">
        <w:rPr>
          <w:rFonts w:eastAsia="Times New Roman" w:cs="Times New Roman"/>
          <w:kern w:val="0"/>
          <w:sz w:val="21"/>
          <w:szCs w:val="21"/>
          <w14:ligatures w14:val="none"/>
        </w:rPr>
        <w:t xml:space="preserve">, </w:t>
      </w:r>
      <w:r w:rsidRPr="005569B6">
        <w:rPr>
          <w:rFonts w:eastAsia="Times New Roman" w:cs="Times New Roman"/>
          <w:b/>
          <w:bCs/>
          <w:kern w:val="0"/>
          <w:sz w:val="21"/>
          <w:szCs w:val="21"/>
          <w14:ligatures w14:val="none"/>
        </w:rPr>
        <w:t>Bank for International Settlements (BIS)</w:t>
      </w:r>
      <w:r w:rsidRPr="005569B6">
        <w:rPr>
          <w:rFonts w:eastAsia="Times New Roman" w:cs="Times New Roman"/>
          <w:kern w:val="0"/>
          <w:sz w:val="21"/>
          <w:szCs w:val="21"/>
          <w14:ligatures w14:val="none"/>
        </w:rPr>
        <w:t xml:space="preserve">, and </w:t>
      </w:r>
      <w:r w:rsidRPr="005569B6">
        <w:rPr>
          <w:rFonts w:eastAsia="Times New Roman" w:cs="Times New Roman"/>
          <w:b/>
          <w:bCs/>
          <w:kern w:val="0"/>
          <w:sz w:val="21"/>
          <w:szCs w:val="21"/>
          <w14:ligatures w14:val="none"/>
        </w:rPr>
        <w:t>Central Bank reports</w:t>
      </w:r>
      <w:r w:rsidRPr="005569B6">
        <w:rPr>
          <w:rFonts w:eastAsia="Times New Roman" w:cs="Times New Roman"/>
          <w:kern w:val="0"/>
          <w:sz w:val="21"/>
          <w:szCs w:val="21"/>
          <w14:ligatures w14:val="none"/>
        </w:rPr>
        <w:t xml:space="preserve"> (MAS, Bank Negara Malaysia, Bank of Japan).</w:t>
      </w:r>
    </w:p>
    <w:p w14:paraId="2D00118D" w14:textId="77777777" w:rsidR="005569B6" w:rsidRPr="005569B6" w:rsidRDefault="005569B6" w:rsidP="005569B6">
      <w:pPr>
        <w:spacing w:after="120" w:line="240" w:lineRule="auto"/>
        <w:outlineLvl w:val="2"/>
        <w:rPr>
          <w:rFonts w:eastAsia="Times New Roman" w:cs="Times New Roman"/>
          <w:b/>
          <w:bCs/>
          <w:kern w:val="0"/>
          <w:sz w:val="27"/>
          <w:szCs w:val="27"/>
          <w14:ligatures w14:val="none"/>
        </w:rPr>
      </w:pPr>
      <w:r w:rsidRPr="005569B6">
        <w:rPr>
          <w:rFonts w:eastAsia="Times New Roman" w:cs="Times New Roman"/>
          <w:b/>
          <w:bCs/>
          <w:kern w:val="0"/>
          <w:sz w:val="27"/>
          <w:szCs w:val="27"/>
          <w14:ligatures w14:val="none"/>
        </w:rPr>
        <w:t>1. Southeast Asia (High &amp; Middle-Income Hubs)</w:t>
      </w:r>
    </w:p>
    <w:p w14:paraId="76AE1613" w14:textId="77777777" w:rsidR="005569B6" w:rsidRPr="005569B6" w:rsidRDefault="005569B6" w:rsidP="005569B6">
      <w:pPr>
        <w:spacing w:before="100" w:beforeAutospacing="1" w:after="100" w:afterAutospacing="1" w:line="240" w:lineRule="auto"/>
        <w:rPr>
          <w:rFonts w:eastAsia="Times New Roman" w:cs="Times New Roman"/>
          <w:kern w:val="0"/>
          <w:sz w:val="21"/>
          <w:szCs w:val="21"/>
          <w14:ligatures w14:val="none"/>
        </w:rPr>
      </w:pPr>
      <w:r w:rsidRPr="005569B6">
        <w:rPr>
          <w:rFonts w:eastAsia="Times New Roman" w:cs="Times New Roman"/>
          <w:kern w:val="0"/>
          <w:sz w:val="21"/>
          <w:szCs w:val="21"/>
          <w14:ligatures w14:val="none"/>
        </w:rPr>
        <w:t>Southeast Asia is the most innovative region for digital aggregators, with high adoption of mobile wallets and "super-apps."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
        <w:gridCol w:w="3070"/>
        <w:gridCol w:w="2630"/>
        <w:gridCol w:w="1140"/>
        <w:gridCol w:w="1440"/>
      </w:tblGrid>
      <w:tr w:rsidR="005569B6" w:rsidRPr="005569B6" w14:paraId="7D7F7B79" w14:textId="77777777" w:rsidTr="005569B6">
        <w:trPr>
          <w:tblCellSpacing w:w="15" w:type="dxa"/>
        </w:trPr>
        <w:tc>
          <w:tcPr>
            <w:tcW w:w="1035" w:type="dxa"/>
            <w:vAlign w:val="center"/>
            <w:hideMark/>
          </w:tcPr>
          <w:p w14:paraId="0F91DE87" w14:textId="77777777" w:rsidR="005569B6" w:rsidRPr="005569B6" w:rsidRDefault="005569B6" w:rsidP="005569B6">
            <w:pPr>
              <w:spacing w:after="0" w:line="240" w:lineRule="auto"/>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Sending Hub</w:t>
            </w:r>
          </w:p>
        </w:tc>
        <w:tc>
          <w:tcPr>
            <w:tcW w:w="3040" w:type="dxa"/>
            <w:vAlign w:val="center"/>
            <w:hideMark/>
          </w:tcPr>
          <w:p w14:paraId="6A128BD3"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Primary Aggregators</w:t>
            </w:r>
          </w:p>
        </w:tc>
        <w:tc>
          <w:tcPr>
            <w:tcW w:w="0" w:type="auto"/>
            <w:vAlign w:val="center"/>
            <w:hideMark/>
          </w:tcPr>
          <w:p w14:paraId="648B12FD"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Top Destination Countries</w:t>
            </w:r>
          </w:p>
        </w:tc>
        <w:tc>
          <w:tcPr>
            <w:tcW w:w="1110" w:type="dxa"/>
            <w:vAlign w:val="center"/>
            <w:hideMark/>
          </w:tcPr>
          <w:p w14:paraId="46645EFC"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Est. Annual Volume (USD)</w:t>
            </w:r>
          </w:p>
        </w:tc>
        <w:tc>
          <w:tcPr>
            <w:tcW w:w="1395" w:type="dxa"/>
            <w:vAlign w:val="center"/>
            <w:hideMark/>
          </w:tcPr>
          <w:p w14:paraId="139CB2AE"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Avg. Total Cost (%)</w:t>
            </w:r>
          </w:p>
        </w:tc>
      </w:tr>
      <w:tr w:rsidR="005569B6" w:rsidRPr="005569B6" w14:paraId="0F45967E" w14:textId="77777777" w:rsidTr="005569B6">
        <w:trPr>
          <w:tblCellSpacing w:w="15" w:type="dxa"/>
        </w:trPr>
        <w:tc>
          <w:tcPr>
            <w:tcW w:w="1035" w:type="dxa"/>
            <w:vAlign w:val="center"/>
            <w:hideMark/>
          </w:tcPr>
          <w:p w14:paraId="1EB0CEFD"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Singapore</w:t>
            </w:r>
          </w:p>
        </w:tc>
        <w:tc>
          <w:tcPr>
            <w:tcW w:w="3040" w:type="dxa"/>
            <w:vAlign w:val="center"/>
            <w:hideMark/>
          </w:tcPr>
          <w:p w14:paraId="00018779"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 xml:space="preserve">Wise, </w:t>
            </w:r>
            <w:proofErr w:type="spellStart"/>
            <w:r w:rsidRPr="005569B6">
              <w:rPr>
                <w:rFonts w:eastAsia="Times New Roman" w:cs="Times New Roman"/>
                <w:kern w:val="0"/>
                <w:sz w:val="21"/>
                <w:szCs w:val="21"/>
                <w14:ligatures w14:val="none"/>
              </w:rPr>
              <w:t>Instarem</w:t>
            </w:r>
            <w:proofErr w:type="spellEnd"/>
            <w:r w:rsidRPr="005569B6">
              <w:rPr>
                <w:rFonts w:eastAsia="Times New Roman" w:cs="Times New Roman"/>
                <w:kern w:val="0"/>
                <w:sz w:val="21"/>
                <w:szCs w:val="21"/>
                <w14:ligatures w14:val="none"/>
              </w:rPr>
              <w:t xml:space="preserve">, Singtel Dash, </w:t>
            </w:r>
            <w:proofErr w:type="spellStart"/>
            <w:r w:rsidRPr="005569B6">
              <w:rPr>
                <w:rFonts w:eastAsia="Times New Roman" w:cs="Times New Roman"/>
                <w:kern w:val="0"/>
                <w:sz w:val="21"/>
                <w:szCs w:val="21"/>
                <w14:ligatures w14:val="none"/>
              </w:rPr>
              <w:t>GrabPay</w:t>
            </w:r>
            <w:proofErr w:type="spellEnd"/>
            <w:r w:rsidRPr="005569B6">
              <w:rPr>
                <w:rFonts w:eastAsia="Times New Roman" w:cs="Times New Roman"/>
                <w:kern w:val="0"/>
                <w:sz w:val="21"/>
                <w:szCs w:val="21"/>
                <w14:ligatures w14:val="none"/>
              </w:rPr>
              <w:t>, Western Union</w:t>
            </w:r>
          </w:p>
        </w:tc>
        <w:tc>
          <w:tcPr>
            <w:tcW w:w="0" w:type="auto"/>
            <w:vAlign w:val="center"/>
            <w:hideMark/>
          </w:tcPr>
          <w:p w14:paraId="55B6CBFA"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Malaysia, India, Philippines, Indonesia, China</w:t>
            </w:r>
          </w:p>
        </w:tc>
        <w:tc>
          <w:tcPr>
            <w:tcW w:w="1110" w:type="dxa"/>
            <w:vAlign w:val="center"/>
            <w:hideMark/>
          </w:tcPr>
          <w:p w14:paraId="60BC174D"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$7.2 Billion</w:t>
            </w:r>
          </w:p>
        </w:tc>
        <w:tc>
          <w:tcPr>
            <w:tcW w:w="1395" w:type="dxa"/>
            <w:vAlign w:val="center"/>
            <w:hideMark/>
          </w:tcPr>
          <w:p w14:paraId="2AD6D8BD"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2.1% – 3.5%</w:t>
            </w:r>
          </w:p>
        </w:tc>
      </w:tr>
      <w:tr w:rsidR="005569B6" w:rsidRPr="005569B6" w14:paraId="427EC629" w14:textId="77777777" w:rsidTr="005569B6">
        <w:trPr>
          <w:tblCellSpacing w:w="15" w:type="dxa"/>
        </w:trPr>
        <w:tc>
          <w:tcPr>
            <w:tcW w:w="1035" w:type="dxa"/>
            <w:vAlign w:val="center"/>
            <w:hideMark/>
          </w:tcPr>
          <w:p w14:paraId="7BAB0C5A"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Malaysia</w:t>
            </w:r>
          </w:p>
        </w:tc>
        <w:tc>
          <w:tcPr>
            <w:tcW w:w="3040" w:type="dxa"/>
            <w:vAlign w:val="center"/>
            <w:hideMark/>
          </w:tcPr>
          <w:p w14:paraId="6C05DBD1" w14:textId="77777777" w:rsidR="005569B6" w:rsidRPr="005569B6" w:rsidRDefault="005569B6" w:rsidP="005569B6">
            <w:pPr>
              <w:spacing w:after="0" w:line="240" w:lineRule="auto"/>
              <w:jc w:val="center"/>
              <w:rPr>
                <w:rFonts w:eastAsia="Times New Roman" w:cs="Times New Roman"/>
                <w:kern w:val="0"/>
                <w:sz w:val="21"/>
                <w:szCs w:val="21"/>
                <w14:ligatures w14:val="none"/>
              </w:rPr>
            </w:pPr>
            <w:proofErr w:type="spellStart"/>
            <w:r w:rsidRPr="005569B6">
              <w:rPr>
                <w:rFonts w:eastAsia="Times New Roman" w:cs="Times New Roman"/>
                <w:kern w:val="0"/>
                <w:sz w:val="21"/>
                <w:szCs w:val="21"/>
                <w14:ligatures w14:val="none"/>
              </w:rPr>
              <w:t>Merchantrade</w:t>
            </w:r>
            <w:proofErr w:type="spellEnd"/>
            <w:r w:rsidRPr="005569B6">
              <w:rPr>
                <w:rFonts w:eastAsia="Times New Roman" w:cs="Times New Roman"/>
                <w:kern w:val="0"/>
                <w:sz w:val="21"/>
                <w:szCs w:val="21"/>
                <w14:ligatures w14:val="none"/>
              </w:rPr>
              <w:t xml:space="preserve">, </w:t>
            </w:r>
            <w:proofErr w:type="spellStart"/>
            <w:r w:rsidRPr="005569B6">
              <w:rPr>
                <w:rFonts w:eastAsia="Times New Roman" w:cs="Times New Roman"/>
                <w:kern w:val="0"/>
                <w:sz w:val="21"/>
                <w:szCs w:val="21"/>
                <w14:ligatures w14:val="none"/>
              </w:rPr>
              <w:t>BigPay</w:t>
            </w:r>
            <w:proofErr w:type="spellEnd"/>
            <w:r w:rsidRPr="005569B6">
              <w:rPr>
                <w:rFonts w:eastAsia="Times New Roman" w:cs="Times New Roman"/>
                <w:kern w:val="0"/>
                <w:sz w:val="21"/>
                <w:szCs w:val="21"/>
                <w14:ligatures w14:val="none"/>
              </w:rPr>
              <w:t xml:space="preserve">, </w:t>
            </w:r>
            <w:proofErr w:type="spellStart"/>
            <w:r w:rsidRPr="005569B6">
              <w:rPr>
                <w:rFonts w:eastAsia="Times New Roman" w:cs="Times New Roman"/>
                <w:kern w:val="0"/>
                <w:sz w:val="21"/>
                <w:szCs w:val="21"/>
                <w14:ligatures w14:val="none"/>
              </w:rPr>
              <w:t>MoneyMatch</w:t>
            </w:r>
            <w:proofErr w:type="spellEnd"/>
            <w:r w:rsidRPr="005569B6">
              <w:rPr>
                <w:rFonts w:eastAsia="Times New Roman" w:cs="Times New Roman"/>
                <w:kern w:val="0"/>
                <w:sz w:val="21"/>
                <w:szCs w:val="21"/>
                <w14:ligatures w14:val="none"/>
              </w:rPr>
              <w:t>, Wise, Valyou</w:t>
            </w:r>
          </w:p>
        </w:tc>
        <w:tc>
          <w:tcPr>
            <w:tcW w:w="0" w:type="auto"/>
            <w:vAlign w:val="center"/>
            <w:hideMark/>
          </w:tcPr>
          <w:p w14:paraId="37CEDC55"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Indonesia, Bangladesh, Nepal, Philippines, India</w:t>
            </w:r>
          </w:p>
        </w:tc>
        <w:tc>
          <w:tcPr>
            <w:tcW w:w="1110" w:type="dxa"/>
            <w:vAlign w:val="center"/>
            <w:hideMark/>
          </w:tcPr>
          <w:p w14:paraId="15E78904"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$6.4 Billion</w:t>
            </w:r>
          </w:p>
        </w:tc>
        <w:tc>
          <w:tcPr>
            <w:tcW w:w="1395" w:type="dxa"/>
            <w:vAlign w:val="center"/>
            <w:hideMark/>
          </w:tcPr>
          <w:p w14:paraId="6E8013A6"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3.2% – 4.8%</w:t>
            </w:r>
          </w:p>
        </w:tc>
      </w:tr>
      <w:tr w:rsidR="005569B6" w:rsidRPr="005569B6" w14:paraId="0BC8E412" w14:textId="77777777" w:rsidTr="005569B6">
        <w:trPr>
          <w:tblCellSpacing w:w="15" w:type="dxa"/>
        </w:trPr>
        <w:tc>
          <w:tcPr>
            <w:tcW w:w="1035" w:type="dxa"/>
            <w:vAlign w:val="center"/>
            <w:hideMark/>
          </w:tcPr>
          <w:p w14:paraId="1484DA4E"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Thailand</w:t>
            </w:r>
          </w:p>
        </w:tc>
        <w:tc>
          <w:tcPr>
            <w:tcW w:w="3040" w:type="dxa"/>
            <w:vAlign w:val="center"/>
            <w:hideMark/>
          </w:tcPr>
          <w:p w14:paraId="47B799C8" w14:textId="77777777" w:rsidR="005569B6" w:rsidRPr="005569B6" w:rsidRDefault="005569B6" w:rsidP="005569B6">
            <w:pPr>
              <w:spacing w:after="0" w:line="240" w:lineRule="auto"/>
              <w:jc w:val="center"/>
              <w:rPr>
                <w:rFonts w:eastAsia="Times New Roman" w:cs="Times New Roman"/>
                <w:kern w:val="0"/>
                <w:sz w:val="21"/>
                <w:szCs w:val="21"/>
                <w14:ligatures w14:val="none"/>
              </w:rPr>
            </w:pPr>
            <w:proofErr w:type="spellStart"/>
            <w:r w:rsidRPr="005569B6">
              <w:rPr>
                <w:rFonts w:eastAsia="Times New Roman" w:cs="Times New Roman"/>
                <w:kern w:val="0"/>
                <w:sz w:val="21"/>
                <w:szCs w:val="21"/>
                <w14:ligatures w14:val="none"/>
              </w:rPr>
              <w:t>DeeMoney</w:t>
            </w:r>
            <w:proofErr w:type="spellEnd"/>
            <w:r w:rsidRPr="005569B6">
              <w:rPr>
                <w:rFonts w:eastAsia="Times New Roman" w:cs="Times New Roman"/>
                <w:kern w:val="0"/>
                <w:sz w:val="21"/>
                <w:szCs w:val="21"/>
                <w14:ligatures w14:val="none"/>
              </w:rPr>
              <w:t xml:space="preserve">, </w:t>
            </w:r>
            <w:proofErr w:type="spellStart"/>
            <w:r w:rsidRPr="005569B6">
              <w:rPr>
                <w:rFonts w:eastAsia="Times New Roman" w:cs="Times New Roman"/>
                <w:kern w:val="0"/>
                <w:sz w:val="21"/>
                <w:szCs w:val="21"/>
                <w14:ligatures w14:val="none"/>
              </w:rPr>
              <w:t>TrueMoney</w:t>
            </w:r>
            <w:proofErr w:type="spellEnd"/>
            <w:r w:rsidRPr="005569B6">
              <w:rPr>
                <w:rFonts w:eastAsia="Times New Roman" w:cs="Times New Roman"/>
                <w:kern w:val="0"/>
                <w:sz w:val="21"/>
                <w:szCs w:val="21"/>
                <w14:ligatures w14:val="none"/>
              </w:rPr>
              <w:t>, Western Union</w:t>
            </w:r>
          </w:p>
        </w:tc>
        <w:tc>
          <w:tcPr>
            <w:tcW w:w="0" w:type="auto"/>
            <w:vAlign w:val="center"/>
            <w:hideMark/>
          </w:tcPr>
          <w:p w14:paraId="69937761"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Myanmar, Cambodia, Laos, India, China</w:t>
            </w:r>
          </w:p>
        </w:tc>
        <w:tc>
          <w:tcPr>
            <w:tcW w:w="1110" w:type="dxa"/>
            <w:vAlign w:val="center"/>
            <w:hideMark/>
          </w:tcPr>
          <w:p w14:paraId="5957A964"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$3.8 Billion</w:t>
            </w:r>
          </w:p>
        </w:tc>
        <w:tc>
          <w:tcPr>
            <w:tcW w:w="1395" w:type="dxa"/>
            <w:vAlign w:val="center"/>
            <w:hideMark/>
          </w:tcPr>
          <w:p w14:paraId="130A436A"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4.5% – 6.2%</w:t>
            </w:r>
          </w:p>
        </w:tc>
      </w:tr>
      <w:tr w:rsidR="005569B6" w:rsidRPr="005569B6" w14:paraId="4B459A79" w14:textId="77777777" w:rsidTr="005569B6">
        <w:trPr>
          <w:tblCellSpacing w:w="15" w:type="dxa"/>
        </w:trPr>
        <w:tc>
          <w:tcPr>
            <w:tcW w:w="1035" w:type="dxa"/>
            <w:vAlign w:val="center"/>
            <w:hideMark/>
          </w:tcPr>
          <w:p w14:paraId="34E2409C"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Vietnam</w:t>
            </w:r>
          </w:p>
        </w:tc>
        <w:tc>
          <w:tcPr>
            <w:tcW w:w="3040" w:type="dxa"/>
            <w:vAlign w:val="center"/>
            <w:hideMark/>
          </w:tcPr>
          <w:p w14:paraId="66D571BE" w14:textId="77777777" w:rsidR="005569B6" w:rsidRPr="005569B6" w:rsidRDefault="005569B6" w:rsidP="005569B6">
            <w:pPr>
              <w:spacing w:after="0" w:line="240" w:lineRule="auto"/>
              <w:jc w:val="center"/>
              <w:rPr>
                <w:rFonts w:eastAsia="Times New Roman" w:cs="Times New Roman"/>
                <w:kern w:val="0"/>
                <w:sz w:val="21"/>
                <w:szCs w:val="21"/>
                <w14:ligatures w14:val="none"/>
              </w:rPr>
            </w:pPr>
            <w:proofErr w:type="spellStart"/>
            <w:r w:rsidRPr="005569B6">
              <w:rPr>
                <w:rFonts w:eastAsia="Times New Roman" w:cs="Times New Roman"/>
                <w:kern w:val="0"/>
                <w:sz w:val="21"/>
                <w:szCs w:val="21"/>
                <w14:ligatures w14:val="none"/>
              </w:rPr>
              <w:t>MoMo</w:t>
            </w:r>
            <w:proofErr w:type="spellEnd"/>
            <w:r w:rsidRPr="005569B6">
              <w:rPr>
                <w:rFonts w:eastAsia="Times New Roman" w:cs="Times New Roman"/>
                <w:kern w:val="0"/>
                <w:sz w:val="21"/>
                <w:szCs w:val="21"/>
                <w14:ligatures w14:val="none"/>
              </w:rPr>
              <w:t xml:space="preserve"> (International), </w:t>
            </w:r>
            <w:proofErr w:type="spellStart"/>
            <w:r w:rsidRPr="005569B6">
              <w:rPr>
                <w:rFonts w:eastAsia="Times New Roman" w:cs="Times New Roman"/>
                <w:kern w:val="0"/>
                <w:sz w:val="21"/>
                <w:szCs w:val="21"/>
                <w14:ligatures w14:val="none"/>
              </w:rPr>
              <w:t>MoMo</w:t>
            </w:r>
            <w:proofErr w:type="spellEnd"/>
            <w:r w:rsidRPr="005569B6">
              <w:rPr>
                <w:rFonts w:eastAsia="Times New Roman" w:cs="Times New Roman"/>
                <w:kern w:val="0"/>
                <w:sz w:val="21"/>
                <w:szCs w:val="21"/>
                <w14:ligatures w14:val="none"/>
              </w:rPr>
              <w:t xml:space="preserve"> (partnering with MTOs)</w:t>
            </w:r>
          </w:p>
        </w:tc>
        <w:tc>
          <w:tcPr>
            <w:tcW w:w="0" w:type="auto"/>
            <w:vAlign w:val="center"/>
            <w:hideMark/>
          </w:tcPr>
          <w:p w14:paraId="25797465"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USA (Students), China, Japan</w:t>
            </w:r>
          </w:p>
        </w:tc>
        <w:tc>
          <w:tcPr>
            <w:tcW w:w="1110" w:type="dxa"/>
            <w:vAlign w:val="center"/>
            <w:hideMark/>
          </w:tcPr>
          <w:p w14:paraId="3F730F86"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$1.2 Billion</w:t>
            </w:r>
          </w:p>
        </w:tc>
        <w:tc>
          <w:tcPr>
            <w:tcW w:w="1395" w:type="dxa"/>
            <w:vAlign w:val="center"/>
            <w:hideMark/>
          </w:tcPr>
          <w:p w14:paraId="3C275070"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5.5% – 7.0%</w:t>
            </w:r>
          </w:p>
        </w:tc>
      </w:tr>
    </w:tbl>
    <w:p w14:paraId="4844003A"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kern w:val="0"/>
          <w:sz w:val="21"/>
          <w:szCs w:val="21"/>
          <w14:ligatures w14:val="none"/>
        </w:rPr>
        <w:pict w14:anchorId="4BAB0AFD">
          <v:rect id="_x0000_i1025" style="width:0;height:1.5pt" o:hralign="center" o:hrstd="t" o:hr="t" fillcolor="#a0a0a0" stroked="f"/>
        </w:pict>
      </w:r>
    </w:p>
    <w:p w14:paraId="73C99CF7" w14:textId="77777777" w:rsidR="005569B6" w:rsidRPr="005569B6" w:rsidRDefault="005569B6" w:rsidP="005569B6">
      <w:pPr>
        <w:spacing w:after="120" w:line="240" w:lineRule="auto"/>
        <w:outlineLvl w:val="2"/>
        <w:rPr>
          <w:rFonts w:eastAsia="Times New Roman" w:cs="Times New Roman"/>
          <w:b/>
          <w:bCs/>
          <w:kern w:val="0"/>
          <w:sz w:val="27"/>
          <w:szCs w:val="27"/>
          <w14:ligatures w14:val="none"/>
        </w:rPr>
      </w:pPr>
      <w:r w:rsidRPr="005569B6">
        <w:rPr>
          <w:rFonts w:eastAsia="Times New Roman" w:cs="Times New Roman"/>
          <w:b/>
          <w:bCs/>
          <w:kern w:val="0"/>
          <w:sz w:val="27"/>
          <w:szCs w:val="27"/>
          <w14:ligatures w14:val="none"/>
        </w:rPr>
        <w:t>2. East Asia (High-Income / Migrant Labor Hubs)</w:t>
      </w:r>
    </w:p>
    <w:p w14:paraId="18979F27" w14:textId="77777777" w:rsidR="005569B6" w:rsidRPr="005569B6" w:rsidRDefault="005569B6" w:rsidP="005569B6">
      <w:pPr>
        <w:spacing w:before="100" w:beforeAutospacing="1" w:after="100" w:afterAutospacing="1" w:line="240" w:lineRule="auto"/>
        <w:rPr>
          <w:rFonts w:eastAsia="Times New Roman" w:cs="Times New Roman"/>
          <w:kern w:val="0"/>
          <w:sz w:val="21"/>
          <w:szCs w:val="21"/>
          <w14:ligatures w14:val="none"/>
        </w:rPr>
      </w:pPr>
      <w:r w:rsidRPr="005569B6">
        <w:rPr>
          <w:rFonts w:eastAsia="Times New Roman" w:cs="Times New Roman"/>
          <w:kern w:val="0"/>
          <w:sz w:val="21"/>
          <w:szCs w:val="21"/>
          <w14:ligatures w14:val="none"/>
        </w:rPr>
        <w:t>East Asian corridors are traditionally more expensive than Southeast Asian ones due to stricter banking regulations and a slower shift toward non-bank fintech aggregators in countries like Japan.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9"/>
        <w:gridCol w:w="2741"/>
        <w:gridCol w:w="2610"/>
        <w:gridCol w:w="1530"/>
        <w:gridCol w:w="1440"/>
      </w:tblGrid>
      <w:tr w:rsidR="005569B6" w:rsidRPr="005569B6" w14:paraId="42FE86E5" w14:textId="77777777" w:rsidTr="005569B6">
        <w:trPr>
          <w:tblCellSpacing w:w="15" w:type="dxa"/>
        </w:trPr>
        <w:tc>
          <w:tcPr>
            <w:tcW w:w="0" w:type="auto"/>
            <w:vAlign w:val="center"/>
            <w:hideMark/>
          </w:tcPr>
          <w:p w14:paraId="0BC1528B" w14:textId="77777777" w:rsidR="005569B6" w:rsidRPr="005569B6" w:rsidRDefault="005569B6" w:rsidP="005569B6">
            <w:pPr>
              <w:spacing w:after="0" w:line="240" w:lineRule="auto"/>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Sending Hub</w:t>
            </w:r>
          </w:p>
        </w:tc>
        <w:tc>
          <w:tcPr>
            <w:tcW w:w="2711" w:type="dxa"/>
            <w:vAlign w:val="center"/>
            <w:hideMark/>
          </w:tcPr>
          <w:p w14:paraId="12885AE4"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Primary Aggregators</w:t>
            </w:r>
          </w:p>
        </w:tc>
        <w:tc>
          <w:tcPr>
            <w:tcW w:w="2580" w:type="dxa"/>
            <w:vAlign w:val="center"/>
            <w:hideMark/>
          </w:tcPr>
          <w:p w14:paraId="14139FBE"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Top Destination Countries</w:t>
            </w:r>
          </w:p>
        </w:tc>
        <w:tc>
          <w:tcPr>
            <w:tcW w:w="1500" w:type="dxa"/>
            <w:vAlign w:val="center"/>
            <w:hideMark/>
          </w:tcPr>
          <w:p w14:paraId="4FE3F75E"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Est. Annual Volume (USD)</w:t>
            </w:r>
          </w:p>
        </w:tc>
        <w:tc>
          <w:tcPr>
            <w:tcW w:w="1395" w:type="dxa"/>
            <w:vAlign w:val="center"/>
            <w:hideMark/>
          </w:tcPr>
          <w:p w14:paraId="7795A597"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Avg. Total Cost (%)</w:t>
            </w:r>
          </w:p>
        </w:tc>
      </w:tr>
      <w:tr w:rsidR="005569B6" w:rsidRPr="005569B6" w14:paraId="3F259466" w14:textId="77777777" w:rsidTr="005569B6">
        <w:trPr>
          <w:tblCellSpacing w:w="15" w:type="dxa"/>
        </w:trPr>
        <w:tc>
          <w:tcPr>
            <w:tcW w:w="0" w:type="auto"/>
            <w:vAlign w:val="center"/>
            <w:hideMark/>
          </w:tcPr>
          <w:p w14:paraId="3989CE8B"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Hong Kong</w:t>
            </w:r>
          </w:p>
        </w:tc>
        <w:tc>
          <w:tcPr>
            <w:tcW w:w="2711" w:type="dxa"/>
            <w:vAlign w:val="center"/>
            <w:hideMark/>
          </w:tcPr>
          <w:p w14:paraId="76C56BAE"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 xml:space="preserve">TNG Wallet, </w:t>
            </w:r>
            <w:proofErr w:type="spellStart"/>
            <w:r w:rsidRPr="005569B6">
              <w:rPr>
                <w:rFonts w:eastAsia="Times New Roman" w:cs="Times New Roman"/>
                <w:kern w:val="0"/>
                <w:sz w:val="21"/>
                <w:szCs w:val="21"/>
                <w14:ligatures w14:val="none"/>
              </w:rPr>
              <w:t>AlipayHK</w:t>
            </w:r>
            <w:proofErr w:type="spellEnd"/>
            <w:r w:rsidRPr="005569B6">
              <w:rPr>
                <w:rFonts w:eastAsia="Times New Roman" w:cs="Times New Roman"/>
                <w:kern w:val="0"/>
                <w:sz w:val="21"/>
                <w:szCs w:val="21"/>
                <w14:ligatures w14:val="none"/>
              </w:rPr>
              <w:t>, WeChat Pay HK, EMQ</w:t>
            </w:r>
          </w:p>
        </w:tc>
        <w:tc>
          <w:tcPr>
            <w:tcW w:w="2580" w:type="dxa"/>
            <w:vAlign w:val="center"/>
            <w:hideMark/>
          </w:tcPr>
          <w:p w14:paraId="0EC0F377"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Philippines, Indonesia, China, India</w:t>
            </w:r>
          </w:p>
        </w:tc>
        <w:tc>
          <w:tcPr>
            <w:tcW w:w="1500" w:type="dxa"/>
            <w:vAlign w:val="center"/>
            <w:hideMark/>
          </w:tcPr>
          <w:p w14:paraId="1B48DC72"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$12.5 Billion</w:t>
            </w:r>
          </w:p>
        </w:tc>
        <w:tc>
          <w:tcPr>
            <w:tcW w:w="1395" w:type="dxa"/>
            <w:vAlign w:val="center"/>
            <w:hideMark/>
          </w:tcPr>
          <w:p w14:paraId="553DCE70"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2.5% – 3.8%</w:t>
            </w:r>
          </w:p>
        </w:tc>
      </w:tr>
      <w:tr w:rsidR="005569B6" w:rsidRPr="005569B6" w14:paraId="54B3B6E3" w14:textId="77777777" w:rsidTr="005569B6">
        <w:trPr>
          <w:tblCellSpacing w:w="15" w:type="dxa"/>
        </w:trPr>
        <w:tc>
          <w:tcPr>
            <w:tcW w:w="0" w:type="auto"/>
            <w:vAlign w:val="center"/>
            <w:hideMark/>
          </w:tcPr>
          <w:p w14:paraId="1FBAF49C"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Japan</w:t>
            </w:r>
          </w:p>
        </w:tc>
        <w:tc>
          <w:tcPr>
            <w:tcW w:w="2711" w:type="dxa"/>
            <w:vAlign w:val="center"/>
            <w:hideMark/>
          </w:tcPr>
          <w:p w14:paraId="6246B932"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Kyodai Remittance, Smiles (Digital Wallet), Wise, Seven Bank</w:t>
            </w:r>
          </w:p>
        </w:tc>
        <w:tc>
          <w:tcPr>
            <w:tcW w:w="2580" w:type="dxa"/>
            <w:vAlign w:val="center"/>
            <w:hideMark/>
          </w:tcPr>
          <w:p w14:paraId="4E3B99AA"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Philippines, Vietnam, Indonesia, Nepal, Brazil</w:t>
            </w:r>
          </w:p>
        </w:tc>
        <w:tc>
          <w:tcPr>
            <w:tcW w:w="1500" w:type="dxa"/>
            <w:vAlign w:val="center"/>
            <w:hideMark/>
          </w:tcPr>
          <w:p w14:paraId="5F82FB2D"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$9.4 Billion</w:t>
            </w:r>
          </w:p>
        </w:tc>
        <w:tc>
          <w:tcPr>
            <w:tcW w:w="1395" w:type="dxa"/>
            <w:vAlign w:val="center"/>
            <w:hideMark/>
          </w:tcPr>
          <w:p w14:paraId="3EEAE72E"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4.8% – 6.5%</w:t>
            </w:r>
          </w:p>
        </w:tc>
      </w:tr>
      <w:tr w:rsidR="005569B6" w:rsidRPr="005569B6" w14:paraId="71CFCDF8" w14:textId="77777777" w:rsidTr="005569B6">
        <w:trPr>
          <w:tblCellSpacing w:w="15" w:type="dxa"/>
        </w:trPr>
        <w:tc>
          <w:tcPr>
            <w:tcW w:w="0" w:type="auto"/>
            <w:vAlign w:val="center"/>
            <w:hideMark/>
          </w:tcPr>
          <w:p w14:paraId="0D7C00E1"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South Korea</w:t>
            </w:r>
          </w:p>
        </w:tc>
        <w:tc>
          <w:tcPr>
            <w:tcW w:w="2711" w:type="dxa"/>
            <w:vAlign w:val="center"/>
            <w:hideMark/>
          </w:tcPr>
          <w:p w14:paraId="693A661E" w14:textId="77777777" w:rsidR="005569B6" w:rsidRPr="005569B6" w:rsidRDefault="005569B6" w:rsidP="005569B6">
            <w:pPr>
              <w:spacing w:after="0" w:line="240" w:lineRule="auto"/>
              <w:jc w:val="center"/>
              <w:rPr>
                <w:rFonts w:eastAsia="Times New Roman" w:cs="Times New Roman"/>
                <w:kern w:val="0"/>
                <w:sz w:val="21"/>
                <w:szCs w:val="21"/>
                <w14:ligatures w14:val="none"/>
              </w:rPr>
            </w:pPr>
            <w:proofErr w:type="spellStart"/>
            <w:r w:rsidRPr="005569B6">
              <w:rPr>
                <w:rFonts w:eastAsia="Times New Roman" w:cs="Times New Roman"/>
                <w:kern w:val="0"/>
                <w:sz w:val="21"/>
                <w:szCs w:val="21"/>
                <w14:ligatures w14:val="none"/>
              </w:rPr>
              <w:t>Sentbe</w:t>
            </w:r>
            <w:proofErr w:type="spellEnd"/>
            <w:r w:rsidRPr="005569B6">
              <w:rPr>
                <w:rFonts w:eastAsia="Times New Roman" w:cs="Times New Roman"/>
                <w:kern w:val="0"/>
                <w:sz w:val="21"/>
                <w:szCs w:val="21"/>
                <w14:ligatures w14:val="none"/>
              </w:rPr>
              <w:t xml:space="preserve">, GME Remittance, </w:t>
            </w:r>
            <w:proofErr w:type="spellStart"/>
            <w:r w:rsidRPr="005569B6">
              <w:rPr>
                <w:rFonts w:eastAsia="Times New Roman" w:cs="Times New Roman"/>
                <w:kern w:val="0"/>
                <w:sz w:val="21"/>
                <w:szCs w:val="21"/>
                <w14:ligatures w14:val="none"/>
              </w:rPr>
              <w:t>Hanpass</w:t>
            </w:r>
            <w:proofErr w:type="spellEnd"/>
            <w:r w:rsidRPr="005569B6">
              <w:rPr>
                <w:rFonts w:eastAsia="Times New Roman" w:cs="Times New Roman"/>
                <w:kern w:val="0"/>
                <w:sz w:val="21"/>
                <w:szCs w:val="21"/>
                <w14:ligatures w14:val="none"/>
              </w:rPr>
              <w:t xml:space="preserve">, </w:t>
            </w:r>
            <w:proofErr w:type="spellStart"/>
            <w:r w:rsidRPr="005569B6">
              <w:rPr>
                <w:rFonts w:eastAsia="Times New Roman" w:cs="Times New Roman"/>
                <w:kern w:val="0"/>
                <w:sz w:val="21"/>
                <w:szCs w:val="21"/>
                <w14:ligatures w14:val="none"/>
              </w:rPr>
              <w:t>WireBarley</w:t>
            </w:r>
            <w:proofErr w:type="spellEnd"/>
          </w:p>
        </w:tc>
        <w:tc>
          <w:tcPr>
            <w:tcW w:w="2580" w:type="dxa"/>
            <w:vAlign w:val="center"/>
            <w:hideMark/>
          </w:tcPr>
          <w:p w14:paraId="006C7773"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Philippines, Vietnam, Indonesia, Thailand, China</w:t>
            </w:r>
          </w:p>
        </w:tc>
        <w:tc>
          <w:tcPr>
            <w:tcW w:w="1500" w:type="dxa"/>
            <w:vAlign w:val="center"/>
            <w:hideMark/>
          </w:tcPr>
          <w:p w14:paraId="5C2F357E"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$8.2 Billion</w:t>
            </w:r>
          </w:p>
        </w:tc>
        <w:tc>
          <w:tcPr>
            <w:tcW w:w="1395" w:type="dxa"/>
            <w:vAlign w:val="center"/>
            <w:hideMark/>
          </w:tcPr>
          <w:p w14:paraId="1A23FDE4"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3.5% – 5.2%</w:t>
            </w:r>
          </w:p>
        </w:tc>
      </w:tr>
      <w:tr w:rsidR="005569B6" w:rsidRPr="005569B6" w14:paraId="1F6D63DA" w14:textId="77777777" w:rsidTr="005569B6">
        <w:trPr>
          <w:tblCellSpacing w:w="15" w:type="dxa"/>
        </w:trPr>
        <w:tc>
          <w:tcPr>
            <w:tcW w:w="0" w:type="auto"/>
            <w:vAlign w:val="center"/>
            <w:hideMark/>
          </w:tcPr>
          <w:p w14:paraId="4C1DA17F"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Taiwan</w:t>
            </w:r>
          </w:p>
        </w:tc>
        <w:tc>
          <w:tcPr>
            <w:tcW w:w="2711" w:type="dxa"/>
            <w:vAlign w:val="center"/>
            <w:hideMark/>
          </w:tcPr>
          <w:p w14:paraId="27C96F76" w14:textId="77777777" w:rsidR="005569B6" w:rsidRPr="005569B6" w:rsidRDefault="005569B6" w:rsidP="005569B6">
            <w:pPr>
              <w:spacing w:after="0" w:line="240" w:lineRule="auto"/>
              <w:jc w:val="center"/>
              <w:rPr>
                <w:rFonts w:eastAsia="Times New Roman" w:cs="Times New Roman"/>
                <w:kern w:val="0"/>
                <w:sz w:val="21"/>
                <w:szCs w:val="21"/>
                <w14:ligatures w14:val="none"/>
              </w:rPr>
            </w:pPr>
            <w:proofErr w:type="spellStart"/>
            <w:r w:rsidRPr="005569B6">
              <w:rPr>
                <w:rFonts w:eastAsia="Times New Roman" w:cs="Times New Roman"/>
                <w:kern w:val="0"/>
                <w:sz w:val="21"/>
                <w:szCs w:val="21"/>
                <w14:ligatures w14:val="none"/>
              </w:rPr>
              <w:t>Welldone</w:t>
            </w:r>
            <w:proofErr w:type="spellEnd"/>
            <w:r w:rsidRPr="005569B6">
              <w:rPr>
                <w:rFonts w:eastAsia="Times New Roman" w:cs="Times New Roman"/>
                <w:kern w:val="0"/>
                <w:sz w:val="21"/>
                <w:szCs w:val="21"/>
                <w14:ligatures w14:val="none"/>
              </w:rPr>
              <w:t>, EMQ, Western Union</w:t>
            </w:r>
          </w:p>
        </w:tc>
        <w:tc>
          <w:tcPr>
            <w:tcW w:w="2580" w:type="dxa"/>
            <w:vAlign w:val="center"/>
            <w:hideMark/>
          </w:tcPr>
          <w:p w14:paraId="75C5D20A"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Philippines, Indonesia, Vietnam, Thailand</w:t>
            </w:r>
          </w:p>
        </w:tc>
        <w:tc>
          <w:tcPr>
            <w:tcW w:w="1500" w:type="dxa"/>
            <w:vAlign w:val="center"/>
            <w:hideMark/>
          </w:tcPr>
          <w:p w14:paraId="4117B11C"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$3.1 Billion</w:t>
            </w:r>
          </w:p>
        </w:tc>
        <w:tc>
          <w:tcPr>
            <w:tcW w:w="1395" w:type="dxa"/>
            <w:vAlign w:val="center"/>
            <w:hideMark/>
          </w:tcPr>
          <w:p w14:paraId="44F2532B"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4.0% – 5.5%</w:t>
            </w:r>
          </w:p>
        </w:tc>
      </w:tr>
    </w:tbl>
    <w:p w14:paraId="429C63C2" w14:textId="0234FBD8" w:rsidR="005569B6" w:rsidRDefault="005569B6" w:rsidP="005569B6">
      <w:pPr>
        <w:spacing w:after="0" w:line="240" w:lineRule="auto"/>
        <w:rPr>
          <w:rFonts w:eastAsia="Times New Roman" w:cs="Times New Roman"/>
          <w:kern w:val="0"/>
          <w:sz w:val="21"/>
          <w:szCs w:val="21"/>
          <w14:ligatures w14:val="none"/>
        </w:rPr>
      </w:pPr>
    </w:p>
    <w:p w14:paraId="495D3152" w14:textId="77777777" w:rsidR="005569B6" w:rsidRDefault="005569B6" w:rsidP="005569B6">
      <w:pPr>
        <w:spacing w:after="0" w:line="240" w:lineRule="auto"/>
        <w:rPr>
          <w:rFonts w:eastAsia="Times New Roman" w:cs="Times New Roman"/>
          <w:kern w:val="0"/>
          <w:sz w:val="21"/>
          <w:szCs w:val="21"/>
          <w14:ligatures w14:val="none"/>
        </w:rPr>
      </w:pPr>
    </w:p>
    <w:p w14:paraId="25105F51" w14:textId="77777777" w:rsidR="005569B6" w:rsidRDefault="005569B6" w:rsidP="005569B6">
      <w:pPr>
        <w:spacing w:after="0" w:line="240" w:lineRule="auto"/>
        <w:rPr>
          <w:rFonts w:eastAsia="Times New Roman" w:cs="Times New Roman"/>
          <w:kern w:val="0"/>
          <w:sz w:val="21"/>
          <w:szCs w:val="21"/>
          <w14:ligatures w14:val="none"/>
        </w:rPr>
      </w:pPr>
    </w:p>
    <w:p w14:paraId="378E9B35" w14:textId="77777777" w:rsidR="005569B6" w:rsidRPr="005569B6" w:rsidRDefault="005569B6" w:rsidP="005569B6">
      <w:pPr>
        <w:spacing w:after="0" w:line="240" w:lineRule="auto"/>
        <w:rPr>
          <w:rFonts w:eastAsia="Times New Roman" w:cs="Times New Roman"/>
          <w:kern w:val="0"/>
          <w:sz w:val="21"/>
          <w:szCs w:val="21"/>
          <w14:ligatures w14:val="none"/>
        </w:rPr>
      </w:pPr>
    </w:p>
    <w:p w14:paraId="04ABE0D9" w14:textId="77777777" w:rsidR="005569B6" w:rsidRPr="005569B6" w:rsidRDefault="005569B6" w:rsidP="005569B6">
      <w:pPr>
        <w:spacing w:after="120" w:line="240" w:lineRule="auto"/>
        <w:outlineLvl w:val="2"/>
        <w:rPr>
          <w:rFonts w:eastAsia="Times New Roman" w:cs="Times New Roman"/>
          <w:b/>
          <w:bCs/>
          <w:kern w:val="0"/>
          <w:sz w:val="27"/>
          <w:szCs w:val="27"/>
          <w14:ligatures w14:val="none"/>
        </w:rPr>
      </w:pPr>
      <w:r w:rsidRPr="005569B6">
        <w:rPr>
          <w:rFonts w:eastAsia="Times New Roman" w:cs="Times New Roman"/>
          <w:b/>
          <w:bCs/>
          <w:kern w:val="0"/>
          <w:sz w:val="27"/>
          <w:szCs w:val="27"/>
          <w14:ligatures w14:val="none"/>
        </w:rPr>
        <w:lastRenderedPageBreak/>
        <w:t>3. South Asia (Developing Outbound Markets)</w:t>
      </w:r>
    </w:p>
    <w:p w14:paraId="50DD905D" w14:textId="77777777" w:rsidR="005569B6" w:rsidRPr="005569B6" w:rsidRDefault="005569B6" w:rsidP="005569B6">
      <w:pPr>
        <w:spacing w:before="100" w:beforeAutospacing="1" w:after="100" w:afterAutospacing="1" w:line="240" w:lineRule="auto"/>
        <w:rPr>
          <w:rFonts w:eastAsia="Times New Roman" w:cs="Times New Roman"/>
          <w:kern w:val="0"/>
          <w:sz w:val="21"/>
          <w:szCs w:val="21"/>
          <w14:ligatures w14:val="none"/>
        </w:rPr>
      </w:pPr>
      <w:r w:rsidRPr="005569B6">
        <w:rPr>
          <w:rFonts w:eastAsia="Times New Roman" w:cs="Times New Roman"/>
          <w:kern w:val="0"/>
          <w:sz w:val="21"/>
          <w:szCs w:val="21"/>
          <w14:ligatures w14:val="none"/>
        </w:rPr>
        <w:t xml:space="preserve">While South Asia is primarily an </w:t>
      </w:r>
      <w:r w:rsidRPr="005569B6">
        <w:rPr>
          <w:rFonts w:eastAsia="Times New Roman" w:cs="Times New Roman"/>
          <w:i/>
          <w:iCs/>
          <w:kern w:val="0"/>
          <w:sz w:val="21"/>
          <w:szCs w:val="21"/>
          <w14:ligatures w14:val="none"/>
        </w:rPr>
        <w:t>inbound</w:t>
      </w:r>
      <w:r w:rsidRPr="005569B6">
        <w:rPr>
          <w:rFonts w:eastAsia="Times New Roman" w:cs="Times New Roman"/>
          <w:kern w:val="0"/>
          <w:sz w:val="21"/>
          <w:szCs w:val="21"/>
          <w14:ligatures w14:val="none"/>
        </w:rPr>
        <w:t xml:space="preserve"> destination, outbound flows for education and medical tourism are growing rapidly in India.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4"/>
        <w:gridCol w:w="3074"/>
        <w:gridCol w:w="2255"/>
        <w:gridCol w:w="1709"/>
        <w:gridCol w:w="1238"/>
      </w:tblGrid>
      <w:tr w:rsidR="005569B6" w:rsidRPr="005569B6" w14:paraId="18375B5F" w14:textId="77777777">
        <w:trPr>
          <w:tblCellSpacing w:w="15" w:type="dxa"/>
        </w:trPr>
        <w:tc>
          <w:tcPr>
            <w:tcW w:w="0" w:type="auto"/>
            <w:vAlign w:val="center"/>
            <w:hideMark/>
          </w:tcPr>
          <w:p w14:paraId="5EF82E14" w14:textId="77777777" w:rsidR="005569B6" w:rsidRPr="005569B6" w:rsidRDefault="005569B6" w:rsidP="005569B6">
            <w:pPr>
              <w:spacing w:after="0" w:line="240" w:lineRule="auto"/>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Sending Hub</w:t>
            </w:r>
          </w:p>
        </w:tc>
        <w:tc>
          <w:tcPr>
            <w:tcW w:w="0" w:type="auto"/>
            <w:vAlign w:val="center"/>
            <w:hideMark/>
          </w:tcPr>
          <w:p w14:paraId="720C9D7D"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Primary Aggregators</w:t>
            </w:r>
          </w:p>
        </w:tc>
        <w:tc>
          <w:tcPr>
            <w:tcW w:w="0" w:type="auto"/>
            <w:vAlign w:val="center"/>
            <w:hideMark/>
          </w:tcPr>
          <w:p w14:paraId="6902B7A6"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Top Destination Countries</w:t>
            </w:r>
          </w:p>
        </w:tc>
        <w:tc>
          <w:tcPr>
            <w:tcW w:w="0" w:type="auto"/>
            <w:vAlign w:val="center"/>
            <w:hideMark/>
          </w:tcPr>
          <w:p w14:paraId="284C433B"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Est. Annual Volume (USD)</w:t>
            </w:r>
          </w:p>
        </w:tc>
        <w:tc>
          <w:tcPr>
            <w:tcW w:w="0" w:type="auto"/>
            <w:vAlign w:val="center"/>
            <w:hideMark/>
          </w:tcPr>
          <w:p w14:paraId="10BC05CE"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Avg. Total Cost (%)</w:t>
            </w:r>
          </w:p>
        </w:tc>
      </w:tr>
      <w:tr w:rsidR="005569B6" w:rsidRPr="005569B6" w14:paraId="6BE52AB0" w14:textId="77777777">
        <w:trPr>
          <w:tblCellSpacing w:w="15" w:type="dxa"/>
        </w:trPr>
        <w:tc>
          <w:tcPr>
            <w:tcW w:w="0" w:type="auto"/>
            <w:vAlign w:val="center"/>
            <w:hideMark/>
          </w:tcPr>
          <w:p w14:paraId="1EB91372"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India</w:t>
            </w:r>
          </w:p>
        </w:tc>
        <w:tc>
          <w:tcPr>
            <w:tcW w:w="0" w:type="auto"/>
            <w:vAlign w:val="center"/>
            <w:hideMark/>
          </w:tcPr>
          <w:p w14:paraId="3D2BBE47" w14:textId="77777777" w:rsidR="005569B6" w:rsidRPr="005569B6" w:rsidRDefault="005569B6" w:rsidP="005569B6">
            <w:pPr>
              <w:spacing w:after="0" w:line="240" w:lineRule="auto"/>
              <w:jc w:val="center"/>
              <w:rPr>
                <w:rFonts w:eastAsia="Times New Roman" w:cs="Times New Roman"/>
                <w:kern w:val="0"/>
                <w:sz w:val="21"/>
                <w:szCs w:val="21"/>
                <w14:ligatures w14:val="none"/>
              </w:rPr>
            </w:pPr>
            <w:proofErr w:type="spellStart"/>
            <w:r w:rsidRPr="005569B6">
              <w:rPr>
                <w:rFonts w:eastAsia="Times New Roman" w:cs="Times New Roman"/>
                <w:kern w:val="0"/>
                <w:sz w:val="21"/>
                <w:szCs w:val="21"/>
                <w14:ligatures w14:val="none"/>
              </w:rPr>
              <w:t>BookMyForex</w:t>
            </w:r>
            <w:proofErr w:type="spellEnd"/>
            <w:r w:rsidRPr="005569B6">
              <w:rPr>
                <w:rFonts w:eastAsia="Times New Roman" w:cs="Times New Roman"/>
                <w:kern w:val="0"/>
                <w:sz w:val="21"/>
                <w:szCs w:val="21"/>
                <w14:ligatures w14:val="none"/>
              </w:rPr>
              <w:t>, Niyo, Wise (limited), Western Union</w:t>
            </w:r>
          </w:p>
        </w:tc>
        <w:tc>
          <w:tcPr>
            <w:tcW w:w="0" w:type="auto"/>
            <w:vAlign w:val="center"/>
            <w:hideMark/>
          </w:tcPr>
          <w:p w14:paraId="522F76AB"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USA (Education), Canada, UK, UAE</w:t>
            </w:r>
          </w:p>
        </w:tc>
        <w:tc>
          <w:tcPr>
            <w:tcW w:w="0" w:type="auto"/>
            <w:vAlign w:val="center"/>
            <w:hideMark/>
          </w:tcPr>
          <w:p w14:paraId="01E865E7"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$5.5 Billion</w:t>
            </w:r>
          </w:p>
        </w:tc>
        <w:tc>
          <w:tcPr>
            <w:tcW w:w="0" w:type="auto"/>
            <w:vAlign w:val="center"/>
            <w:hideMark/>
          </w:tcPr>
          <w:p w14:paraId="4B99F1FC"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5.2% – 7.5%</w:t>
            </w:r>
          </w:p>
        </w:tc>
      </w:tr>
    </w:tbl>
    <w:p w14:paraId="51A3801F"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kern w:val="0"/>
          <w:sz w:val="21"/>
          <w:szCs w:val="21"/>
          <w14:ligatures w14:val="none"/>
        </w:rPr>
        <w:pict w14:anchorId="2E0AC7F6">
          <v:rect id="_x0000_i1027" style="width:0;height:1.5pt" o:hralign="center" o:hrstd="t" o:hr="t" fillcolor="#a0a0a0" stroked="f"/>
        </w:pict>
      </w:r>
    </w:p>
    <w:p w14:paraId="08770B8B" w14:textId="77777777" w:rsidR="005569B6" w:rsidRPr="005569B6" w:rsidRDefault="005569B6" w:rsidP="005569B6">
      <w:pPr>
        <w:spacing w:after="120" w:line="240" w:lineRule="auto"/>
        <w:outlineLvl w:val="2"/>
        <w:rPr>
          <w:rFonts w:eastAsia="Times New Roman" w:cs="Times New Roman"/>
          <w:b/>
          <w:bCs/>
          <w:kern w:val="0"/>
          <w:sz w:val="27"/>
          <w:szCs w:val="27"/>
          <w14:ligatures w14:val="none"/>
        </w:rPr>
      </w:pPr>
      <w:r w:rsidRPr="005569B6">
        <w:rPr>
          <w:rFonts w:eastAsia="Times New Roman" w:cs="Times New Roman"/>
          <w:b/>
          <w:bCs/>
          <w:kern w:val="0"/>
          <w:sz w:val="27"/>
          <w:szCs w:val="27"/>
          <w14:ligatures w14:val="none"/>
        </w:rPr>
        <w:t>4. Breakdown of Top Asian Aggregators (Profiles)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4"/>
        <w:gridCol w:w="1307"/>
        <w:gridCol w:w="4488"/>
        <w:gridCol w:w="1594"/>
      </w:tblGrid>
      <w:tr w:rsidR="005569B6" w:rsidRPr="005569B6" w14:paraId="06D89A8C" w14:textId="77777777">
        <w:trPr>
          <w:tblCellSpacing w:w="15" w:type="dxa"/>
        </w:trPr>
        <w:tc>
          <w:tcPr>
            <w:tcW w:w="0" w:type="auto"/>
            <w:vAlign w:val="center"/>
            <w:hideMark/>
          </w:tcPr>
          <w:p w14:paraId="5A0284A6" w14:textId="77777777" w:rsidR="005569B6" w:rsidRPr="005569B6" w:rsidRDefault="005569B6" w:rsidP="005569B6">
            <w:pPr>
              <w:spacing w:after="0" w:line="240" w:lineRule="auto"/>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Aggregator</w:t>
            </w:r>
          </w:p>
        </w:tc>
        <w:tc>
          <w:tcPr>
            <w:tcW w:w="0" w:type="auto"/>
            <w:vAlign w:val="center"/>
            <w:hideMark/>
          </w:tcPr>
          <w:p w14:paraId="2DA7B424"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HQ Location</w:t>
            </w:r>
          </w:p>
        </w:tc>
        <w:tc>
          <w:tcPr>
            <w:tcW w:w="0" w:type="auto"/>
            <w:vAlign w:val="center"/>
            <w:hideMark/>
          </w:tcPr>
          <w:p w14:paraId="15B688C5"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Dominant Corridor</w:t>
            </w:r>
          </w:p>
        </w:tc>
        <w:tc>
          <w:tcPr>
            <w:tcW w:w="0" w:type="auto"/>
            <w:vAlign w:val="center"/>
            <w:hideMark/>
          </w:tcPr>
          <w:p w14:paraId="16A9B02E" w14:textId="77777777" w:rsidR="005569B6" w:rsidRPr="005569B6" w:rsidRDefault="005569B6" w:rsidP="005569B6">
            <w:pPr>
              <w:spacing w:after="0" w:line="240" w:lineRule="auto"/>
              <w:jc w:val="center"/>
              <w:rPr>
                <w:rFonts w:eastAsia="Times New Roman" w:cs="Times New Roman"/>
                <w:b/>
                <w:bCs/>
                <w:kern w:val="0"/>
                <w:sz w:val="21"/>
                <w:szCs w:val="21"/>
                <w14:ligatures w14:val="none"/>
              </w:rPr>
            </w:pPr>
            <w:r w:rsidRPr="005569B6">
              <w:rPr>
                <w:rFonts w:eastAsia="Times New Roman" w:cs="Times New Roman"/>
                <w:b/>
                <w:bCs/>
                <w:kern w:val="0"/>
                <w:sz w:val="21"/>
                <w:szCs w:val="21"/>
                <w14:ligatures w14:val="none"/>
              </w:rPr>
              <w:t>Avg. Speed</w:t>
            </w:r>
          </w:p>
        </w:tc>
      </w:tr>
      <w:tr w:rsidR="005569B6" w:rsidRPr="005569B6" w14:paraId="42535185" w14:textId="77777777">
        <w:trPr>
          <w:tblCellSpacing w:w="15" w:type="dxa"/>
        </w:trPr>
        <w:tc>
          <w:tcPr>
            <w:tcW w:w="0" w:type="auto"/>
            <w:vAlign w:val="center"/>
            <w:hideMark/>
          </w:tcPr>
          <w:p w14:paraId="3EADAB6D"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Wise</w:t>
            </w:r>
          </w:p>
        </w:tc>
        <w:tc>
          <w:tcPr>
            <w:tcW w:w="0" w:type="auto"/>
            <w:vAlign w:val="center"/>
            <w:hideMark/>
          </w:tcPr>
          <w:p w14:paraId="279641C7"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UK/Singapore</w:t>
            </w:r>
          </w:p>
        </w:tc>
        <w:tc>
          <w:tcPr>
            <w:tcW w:w="0" w:type="auto"/>
            <w:vAlign w:val="center"/>
            <w:hideMark/>
          </w:tcPr>
          <w:p w14:paraId="4A662637"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SG to India / HK to UK</w:t>
            </w:r>
          </w:p>
        </w:tc>
        <w:tc>
          <w:tcPr>
            <w:tcW w:w="0" w:type="auto"/>
            <w:vAlign w:val="center"/>
            <w:hideMark/>
          </w:tcPr>
          <w:p w14:paraId="4BD4EB4A"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Instant to 1 Day</w:t>
            </w:r>
          </w:p>
        </w:tc>
      </w:tr>
      <w:tr w:rsidR="005569B6" w:rsidRPr="005569B6" w14:paraId="655CE507" w14:textId="77777777">
        <w:trPr>
          <w:tblCellSpacing w:w="15" w:type="dxa"/>
        </w:trPr>
        <w:tc>
          <w:tcPr>
            <w:tcW w:w="0" w:type="auto"/>
            <w:vAlign w:val="center"/>
            <w:hideMark/>
          </w:tcPr>
          <w:p w14:paraId="116B3AC7" w14:textId="77777777" w:rsidR="005569B6" w:rsidRPr="005569B6" w:rsidRDefault="005569B6" w:rsidP="005569B6">
            <w:pPr>
              <w:spacing w:after="0" w:line="240" w:lineRule="auto"/>
              <w:rPr>
                <w:rFonts w:eastAsia="Times New Roman" w:cs="Times New Roman"/>
                <w:kern w:val="0"/>
                <w:sz w:val="21"/>
                <w:szCs w:val="21"/>
                <w14:ligatures w14:val="none"/>
              </w:rPr>
            </w:pPr>
            <w:proofErr w:type="spellStart"/>
            <w:r w:rsidRPr="005569B6">
              <w:rPr>
                <w:rFonts w:eastAsia="Times New Roman" w:cs="Times New Roman"/>
                <w:b/>
                <w:bCs/>
                <w:kern w:val="0"/>
                <w:sz w:val="21"/>
                <w:szCs w:val="21"/>
                <w14:ligatures w14:val="none"/>
              </w:rPr>
              <w:t>Instarem</w:t>
            </w:r>
            <w:proofErr w:type="spellEnd"/>
          </w:p>
        </w:tc>
        <w:tc>
          <w:tcPr>
            <w:tcW w:w="0" w:type="auto"/>
            <w:vAlign w:val="center"/>
            <w:hideMark/>
          </w:tcPr>
          <w:p w14:paraId="59BAA781"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Singapore</w:t>
            </w:r>
          </w:p>
        </w:tc>
        <w:tc>
          <w:tcPr>
            <w:tcW w:w="0" w:type="auto"/>
            <w:vAlign w:val="center"/>
            <w:hideMark/>
          </w:tcPr>
          <w:p w14:paraId="68B8D714"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SG to SE Asia</w:t>
            </w:r>
          </w:p>
        </w:tc>
        <w:tc>
          <w:tcPr>
            <w:tcW w:w="0" w:type="auto"/>
            <w:vAlign w:val="center"/>
            <w:hideMark/>
          </w:tcPr>
          <w:p w14:paraId="16200497"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Instant</w:t>
            </w:r>
          </w:p>
        </w:tc>
      </w:tr>
      <w:tr w:rsidR="005569B6" w:rsidRPr="005569B6" w14:paraId="6723F0DC" w14:textId="77777777">
        <w:trPr>
          <w:tblCellSpacing w:w="15" w:type="dxa"/>
        </w:trPr>
        <w:tc>
          <w:tcPr>
            <w:tcW w:w="0" w:type="auto"/>
            <w:vAlign w:val="center"/>
            <w:hideMark/>
          </w:tcPr>
          <w:p w14:paraId="37CB2505" w14:textId="77777777" w:rsidR="005569B6" w:rsidRPr="005569B6" w:rsidRDefault="005569B6" w:rsidP="005569B6">
            <w:pPr>
              <w:spacing w:after="0" w:line="240" w:lineRule="auto"/>
              <w:rPr>
                <w:rFonts w:eastAsia="Times New Roman" w:cs="Times New Roman"/>
                <w:kern w:val="0"/>
                <w:sz w:val="21"/>
                <w:szCs w:val="21"/>
                <w14:ligatures w14:val="none"/>
              </w:rPr>
            </w:pPr>
            <w:proofErr w:type="spellStart"/>
            <w:r w:rsidRPr="005569B6">
              <w:rPr>
                <w:rFonts w:eastAsia="Times New Roman" w:cs="Times New Roman"/>
                <w:b/>
                <w:bCs/>
                <w:kern w:val="0"/>
                <w:sz w:val="21"/>
                <w:szCs w:val="21"/>
                <w14:ligatures w14:val="none"/>
              </w:rPr>
              <w:t>Merchantrade</w:t>
            </w:r>
            <w:proofErr w:type="spellEnd"/>
          </w:p>
        </w:tc>
        <w:tc>
          <w:tcPr>
            <w:tcW w:w="0" w:type="auto"/>
            <w:vAlign w:val="center"/>
            <w:hideMark/>
          </w:tcPr>
          <w:p w14:paraId="075804BD"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Malaysia</w:t>
            </w:r>
          </w:p>
        </w:tc>
        <w:tc>
          <w:tcPr>
            <w:tcW w:w="0" w:type="auto"/>
            <w:vAlign w:val="center"/>
            <w:hideMark/>
          </w:tcPr>
          <w:p w14:paraId="56BA8AEB"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MY to Indonesia / Bangladesh</w:t>
            </w:r>
          </w:p>
        </w:tc>
        <w:tc>
          <w:tcPr>
            <w:tcW w:w="0" w:type="auto"/>
            <w:vAlign w:val="center"/>
            <w:hideMark/>
          </w:tcPr>
          <w:p w14:paraId="4D70456B"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1–2 Days</w:t>
            </w:r>
          </w:p>
        </w:tc>
      </w:tr>
      <w:tr w:rsidR="005569B6" w:rsidRPr="005569B6" w14:paraId="5D244E0D" w14:textId="77777777">
        <w:trPr>
          <w:tblCellSpacing w:w="15" w:type="dxa"/>
        </w:trPr>
        <w:tc>
          <w:tcPr>
            <w:tcW w:w="0" w:type="auto"/>
            <w:vAlign w:val="center"/>
            <w:hideMark/>
          </w:tcPr>
          <w:p w14:paraId="68DC23B4" w14:textId="77777777" w:rsidR="005569B6" w:rsidRPr="005569B6" w:rsidRDefault="005569B6" w:rsidP="005569B6">
            <w:pPr>
              <w:spacing w:after="0" w:line="240" w:lineRule="auto"/>
              <w:rPr>
                <w:rFonts w:eastAsia="Times New Roman" w:cs="Times New Roman"/>
                <w:kern w:val="0"/>
                <w:sz w:val="21"/>
                <w:szCs w:val="21"/>
                <w14:ligatures w14:val="none"/>
              </w:rPr>
            </w:pPr>
            <w:proofErr w:type="spellStart"/>
            <w:r w:rsidRPr="005569B6">
              <w:rPr>
                <w:rFonts w:eastAsia="Times New Roman" w:cs="Times New Roman"/>
                <w:b/>
                <w:bCs/>
                <w:kern w:val="0"/>
                <w:sz w:val="21"/>
                <w:szCs w:val="21"/>
                <w14:ligatures w14:val="none"/>
              </w:rPr>
              <w:t>Sentbe</w:t>
            </w:r>
            <w:proofErr w:type="spellEnd"/>
          </w:p>
        </w:tc>
        <w:tc>
          <w:tcPr>
            <w:tcW w:w="0" w:type="auto"/>
            <w:vAlign w:val="center"/>
            <w:hideMark/>
          </w:tcPr>
          <w:p w14:paraId="60528CED"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South Korea</w:t>
            </w:r>
          </w:p>
        </w:tc>
        <w:tc>
          <w:tcPr>
            <w:tcW w:w="0" w:type="auto"/>
            <w:vAlign w:val="center"/>
            <w:hideMark/>
          </w:tcPr>
          <w:p w14:paraId="59F54673"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KR to Philippines / Vietnam</w:t>
            </w:r>
          </w:p>
        </w:tc>
        <w:tc>
          <w:tcPr>
            <w:tcW w:w="0" w:type="auto"/>
            <w:vAlign w:val="center"/>
            <w:hideMark/>
          </w:tcPr>
          <w:p w14:paraId="319C8843"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30 Minutes</w:t>
            </w:r>
          </w:p>
        </w:tc>
      </w:tr>
      <w:tr w:rsidR="005569B6" w:rsidRPr="005569B6" w14:paraId="4728CC40" w14:textId="77777777">
        <w:trPr>
          <w:tblCellSpacing w:w="15" w:type="dxa"/>
        </w:trPr>
        <w:tc>
          <w:tcPr>
            <w:tcW w:w="0" w:type="auto"/>
            <w:vAlign w:val="center"/>
            <w:hideMark/>
          </w:tcPr>
          <w:p w14:paraId="54D32F26"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Kyodai</w:t>
            </w:r>
          </w:p>
        </w:tc>
        <w:tc>
          <w:tcPr>
            <w:tcW w:w="0" w:type="auto"/>
            <w:vAlign w:val="center"/>
            <w:hideMark/>
          </w:tcPr>
          <w:p w14:paraId="44C4AA42"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Japan</w:t>
            </w:r>
          </w:p>
        </w:tc>
        <w:tc>
          <w:tcPr>
            <w:tcW w:w="0" w:type="auto"/>
            <w:vAlign w:val="center"/>
            <w:hideMark/>
          </w:tcPr>
          <w:p w14:paraId="47C47D91"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 xml:space="preserve">JP to SE Asia / </w:t>
            </w:r>
            <w:proofErr w:type="spellStart"/>
            <w:r w:rsidRPr="005569B6">
              <w:rPr>
                <w:rFonts w:eastAsia="Times New Roman" w:cs="Times New Roman"/>
                <w:kern w:val="0"/>
                <w:sz w:val="21"/>
                <w:szCs w:val="21"/>
                <w14:ligatures w14:val="none"/>
              </w:rPr>
              <w:t>LatAm</w:t>
            </w:r>
            <w:proofErr w:type="spellEnd"/>
          </w:p>
        </w:tc>
        <w:tc>
          <w:tcPr>
            <w:tcW w:w="0" w:type="auto"/>
            <w:vAlign w:val="center"/>
            <w:hideMark/>
          </w:tcPr>
          <w:p w14:paraId="58120A7A"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1 Day (Cash-out)</w:t>
            </w:r>
          </w:p>
        </w:tc>
      </w:tr>
      <w:tr w:rsidR="005569B6" w:rsidRPr="005569B6" w14:paraId="799F3D06" w14:textId="77777777">
        <w:trPr>
          <w:tblCellSpacing w:w="15" w:type="dxa"/>
        </w:trPr>
        <w:tc>
          <w:tcPr>
            <w:tcW w:w="0" w:type="auto"/>
            <w:vAlign w:val="center"/>
            <w:hideMark/>
          </w:tcPr>
          <w:p w14:paraId="03309C9A"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TNG Wallet</w:t>
            </w:r>
          </w:p>
        </w:tc>
        <w:tc>
          <w:tcPr>
            <w:tcW w:w="0" w:type="auto"/>
            <w:vAlign w:val="center"/>
            <w:hideMark/>
          </w:tcPr>
          <w:p w14:paraId="7AF48241"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Hong Kong</w:t>
            </w:r>
          </w:p>
        </w:tc>
        <w:tc>
          <w:tcPr>
            <w:tcW w:w="0" w:type="auto"/>
            <w:vAlign w:val="center"/>
            <w:hideMark/>
          </w:tcPr>
          <w:p w14:paraId="1135EE4E"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HK to Philippines (Domestic Workers)</w:t>
            </w:r>
          </w:p>
        </w:tc>
        <w:tc>
          <w:tcPr>
            <w:tcW w:w="0" w:type="auto"/>
            <w:vAlign w:val="center"/>
            <w:hideMark/>
          </w:tcPr>
          <w:p w14:paraId="5D03E619"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Instant</w:t>
            </w:r>
          </w:p>
        </w:tc>
      </w:tr>
      <w:tr w:rsidR="005569B6" w:rsidRPr="005569B6" w14:paraId="161A20FC" w14:textId="77777777">
        <w:trPr>
          <w:tblCellSpacing w:w="15" w:type="dxa"/>
        </w:trPr>
        <w:tc>
          <w:tcPr>
            <w:tcW w:w="0" w:type="auto"/>
            <w:vAlign w:val="center"/>
            <w:hideMark/>
          </w:tcPr>
          <w:p w14:paraId="6CF4F741" w14:textId="77777777" w:rsidR="005569B6" w:rsidRPr="005569B6" w:rsidRDefault="005569B6" w:rsidP="005569B6">
            <w:pPr>
              <w:spacing w:after="0" w:line="240" w:lineRule="auto"/>
              <w:rPr>
                <w:rFonts w:eastAsia="Times New Roman" w:cs="Times New Roman"/>
                <w:kern w:val="0"/>
                <w:sz w:val="21"/>
                <w:szCs w:val="21"/>
                <w14:ligatures w14:val="none"/>
              </w:rPr>
            </w:pPr>
            <w:proofErr w:type="spellStart"/>
            <w:r w:rsidRPr="005569B6">
              <w:rPr>
                <w:rFonts w:eastAsia="Times New Roman" w:cs="Times New Roman"/>
                <w:b/>
                <w:bCs/>
                <w:kern w:val="0"/>
                <w:sz w:val="21"/>
                <w:szCs w:val="21"/>
                <w14:ligatures w14:val="none"/>
              </w:rPr>
              <w:t>DeeMoney</w:t>
            </w:r>
            <w:proofErr w:type="spellEnd"/>
          </w:p>
        </w:tc>
        <w:tc>
          <w:tcPr>
            <w:tcW w:w="0" w:type="auto"/>
            <w:vAlign w:val="center"/>
            <w:hideMark/>
          </w:tcPr>
          <w:p w14:paraId="0CBE5DFF"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Thailand</w:t>
            </w:r>
          </w:p>
        </w:tc>
        <w:tc>
          <w:tcPr>
            <w:tcW w:w="0" w:type="auto"/>
            <w:vAlign w:val="center"/>
            <w:hideMark/>
          </w:tcPr>
          <w:p w14:paraId="7E28A9F8"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TH to CLMV (Cambodia/Laos/Myanmar/Vietnam)</w:t>
            </w:r>
          </w:p>
        </w:tc>
        <w:tc>
          <w:tcPr>
            <w:tcW w:w="0" w:type="auto"/>
            <w:vAlign w:val="center"/>
            <w:hideMark/>
          </w:tcPr>
          <w:p w14:paraId="790D80FB" w14:textId="77777777" w:rsidR="005569B6" w:rsidRPr="005569B6" w:rsidRDefault="005569B6" w:rsidP="005569B6">
            <w:pPr>
              <w:spacing w:after="0" w:line="240" w:lineRule="auto"/>
              <w:jc w:val="center"/>
              <w:rPr>
                <w:rFonts w:eastAsia="Times New Roman" w:cs="Times New Roman"/>
                <w:kern w:val="0"/>
                <w:sz w:val="21"/>
                <w:szCs w:val="21"/>
                <w14:ligatures w14:val="none"/>
              </w:rPr>
            </w:pPr>
            <w:r w:rsidRPr="005569B6">
              <w:rPr>
                <w:rFonts w:eastAsia="Times New Roman" w:cs="Times New Roman"/>
                <w:kern w:val="0"/>
                <w:sz w:val="21"/>
                <w:szCs w:val="21"/>
                <w14:ligatures w14:val="none"/>
              </w:rPr>
              <w:t>1–2 Days</w:t>
            </w:r>
          </w:p>
        </w:tc>
      </w:tr>
    </w:tbl>
    <w:p w14:paraId="03702A82" w14:textId="77777777" w:rsidR="005569B6" w:rsidRPr="005569B6" w:rsidRDefault="005569B6" w:rsidP="005569B6">
      <w:pPr>
        <w:spacing w:after="0" w:line="240" w:lineRule="auto"/>
        <w:rPr>
          <w:rFonts w:eastAsia="Times New Roman" w:cs="Times New Roman"/>
          <w:kern w:val="0"/>
          <w:sz w:val="21"/>
          <w:szCs w:val="21"/>
          <w14:ligatures w14:val="none"/>
        </w:rPr>
      </w:pPr>
      <w:r w:rsidRPr="005569B6">
        <w:rPr>
          <w:rFonts w:eastAsia="Times New Roman" w:cs="Times New Roman"/>
          <w:kern w:val="0"/>
          <w:sz w:val="21"/>
          <w:szCs w:val="21"/>
          <w14:ligatures w14:val="none"/>
        </w:rPr>
        <w:pict w14:anchorId="6EA60341">
          <v:rect id="_x0000_i1028" style="width:0;height:1.5pt" o:hralign="center" o:hrstd="t" o:hr="t" fillcolor="#a0a0a0" stroked="f"/>
        </w:pict>
      </w:r>
    </w:p>
    <w:p w14:paraId="011B713B" w14:textId="77777777" w:rsidR="005569B6" w:rsidRPr="005569B6" w:rsidRDefault="005569B6" w:rsidP="005569B6">
      <w:pPr>
        <w:spacing w:after="120" w:line="240" w:lineRule="auto"/>
        <w:outlineLvl w:val="2"/>
        <w:rPr>
          <w:rFonts w:eastAsia="Times New Roman" w:cs="Times New Roman"/>
          <w:b/>
          <w:bCs/>
          <w:kern w:val="0"/>
          <w:sz w:val="27"/>
          <w:szCs w:val="27"/>
          <w14:ligatures w14:val="none"/>
        </w:rPr>
      </w:pPr>
      <w:r w:rsidRPr="005569B6">
        <w:rPr>
          <w:rFonts w:eastAsia="Times New Roman" w:cs="Times New Roman"/>
          <w:b/>
          <w:bCs/>
          <w:kern w:val="0"/>
          <w:sz w:val="27"/>
          <w:szCs w:val="27"/>
          <w14:ligatures w14:val="none"/>
        </w:rPr>
        <w:t>5. Key Market Trends &amp; Observations (2025/2026)</w:t>
      </w:r>
    </w:p>
    <w:p w14:paraId="14D39A29" w14:textId="77777777" w:rsidR="005569B6" w:rsidRPr="005569B6" w:rsidRDefault="005569B6" w:rsidP="005569B6">
      <w:pPr>
        <w:numPr>
          <w:ilvl w:val="0"/>
          <w:numId w:val="1"/>
        </w:numPr>
        <w:spacing w:before="100" w:beforeAutospacing="1" w:after="100" w:afterAutospacing="1"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The "Super-App" Dominance:</w:t>
      </w:r>
      <w:r w:rsidRPr="005569B6">
        <w:rPr>
          <w:rFonts w:eastAsia="Times New Roman" w:cs="Times New Roman"/>
          <w:kern w:val="0"/>
          <w:sz w:val="21"/>
          <w:szCs w:val="21"/>
          <w14:ligatures w14:val="none"/>
        </w:rPr>
        <w:t xml:space="preserve"> In Southeast Asia, aggregators are increasingly moving away from standalone apps. </w:t>
      </w:r>
      <w:r w:rsidRPr="005569B6">
        <w:rPr>
          <w:rFonts w:eastAsia="Times New Roman" w:cs="Times New Roman"/>
          <w:b/>
          <w:bCs/>
          <w:kern w:val="0"/>
          <w:sz w:val="21"/>
          <w:szCs w:val="21"/>
          <w14:ligatures w14:val="none"/>
        </w:rPr>
        <w:t>Singtel Dash</w:t>
      </w:r>
      <w:r w:rsidRPr="005569B6">
        <w:rPr>
          <w:rFonts w:eastAsia="Times New Roman" w:cs="Times New Roman"/>
          <w:kern w:val="0"/>
          <w:sz w:val="21"/>
          <w:szCs w:val="21"/>
          <w14:ligatures w14:val="none"/>
        </w:rPr>
        <w:t xml:space="preserve"> (Singapore) and </w:t>
      </w:r>
      <w:r w:rsidRPr="005569B6">
        <w:rPr>
          <w:rFonts w:eastAsia="Times New Roman" w:cs="Times New Roman"/>
          <w:b/>
          <w:bCs/>
          <w:kern w:val="0"/>
          <w:sz w:val="21"/>
          <w:szCs w:val="21"/>
          <w14:ligatures w14:val="none"/>
        </w:rPr>
        <w:t>Grab</w:t>
      </w:r>
      <w:r w:rsidRPr="005569B6">
        <w:rPr>
          <w:rFonts w:eastAsia="Times New Roman" w:cs="Times New Roman"/>
          <w:kern w:val="0"/>
          <w:sz w:val="21"/>
          <w:szCs w:val="21"/>
          <w14:ligatures w14:val="none"/>
        </w:rPr>
        <w:t xml:space="preserve"> have successfully integrated remittance into their daily-use ecosystems, significantly lowering the "Customer Acquisition Cost" (CAC) compared to traditional MTOs like Western Union.</w:t>
      </w:r>
    </w:p>
    <w:p w14:paraId="14CDD371" w14:textId="77777777" w:rsidR="005569B6" w:rsidRPr="005569B6" w:rsidRDefault="005569B6" w:rsidP="005569B6">
      <w:pPr>
        <w:numPr>
          <w:ilvl w:val="0"/>
          <w:numId w:val="1"/>
        </w:numPr>
        <w:spacing w:before="100" w:beforeAutospacing="1" w:after="100" w:afterAutospacing="1"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QR Code Integration:</w:t>
      </w:r>
      <w:r w:rsidRPr="005569B6">
        <w:rPr>
          <w:rFonts w:eastAsia="Times New Roman" w:cs="Times New Roman"/>
          <w:kern w:val="0"/>
          <w:sz w:val="21"/>
          <w:szCs w:val="21"/>
          <w14:ligatures w14:val="none"/>
        </w:rPr>
        <w:t xml:space="preserve"> In 2024 and 2025, cross-border QR payments (e.g., Singapore’s </w:t>
      </w:r>
      <w:proofErr w:type="spellStart"/>
      <w:r w:rsidRPr="005569B6">
        <w:rPr>
          <w:rFonts w:eastAsia="Times New Roman" w:cs="Times New Roman"/>
          <w:b/>
          <w:bCs/>
          <w:kern w:val="0"/>
          <w:sz w:val="21"/>
          <w:szCs w:val="21"/>
          <w14:ligatures w14:val="none"/>
        </w:rPr>
        <w:t>PayNow</w:t>
      </w:r>
      <w:proofErr w:type="spellEnd"/>
      <w:r w:rsidRPr="005569B6">
        <w:rPr>
          <w:rFonts w:eastAsia="Times New Roman" w:cs="Times New Roman"/>
          <w:kern w:val="0"/>
          <w:sz w:val="21"/>
          <w:szCs w:val="21"/>
          <w14:ligatures w14:val="none"/>
        </w:rPr>
        <w:t xml:space="preserve"> linked with India’s </w:t>
      </w:r>
      <w:r w:rsidRPr="005569B6">
        <w:rPr>
          <w:rFonts w:eastAsia="Times New Roman" w:cs="Times New Roman"/>
          <w:b/>
          <w:bCs/>
          <w:kern w:val="0"/>
          <w:sz w:val="21"/>
          <w:szCs w:val="21"/>
          <w14:ligatures w14:val="none"/>
        </w:rPr>
        <w:t>UPI</w:t>
      </w:r>
      <w:r w:rsidRPr="005569B6">
        <w:rPr>
          <w:rFonts w:eastAsia="Times New Roman" w:cs="Times New Roman"/>
          <w:kern w:val="0"/>
          <w:sz w:val="21"/>
          <w:szCs w:val="21"/>
          <w14:ligatures w14:val="none"/>
        </w:rPr>
        <w:t xml:space="preserve"> and Thailand’s </w:t>
      </w:r>
      <w:proofErr w:type="spellStart"/>
      <w:r w:rsidRPr="005569B6">
        <w:rPr>
          <w:rFonts w:eastAsia="Times New Roman" w:cs="Times New Roman"/>
          <w:b/>
          <w:bCs/>
          <w:kern w:val="0"/>
          <w:sz w:val="21"/>
          <w:szCs w:val="21"/>
          <w14:ligatures w14:val="none"/>
        </w:rPr>
        <w:t>PromptPay</w:t>
      </w:r>
      <w:proofErr w:type="spellEnd"/>
      <w:r w:rsidRPr="005569B6">
        <w:rPr>
          <w:rFonts w:eastAsia="Times New Roman" w:cs="Times New Roman"/>
          <w:kern w:val="0"/>
          <w:sz w:val="21"/>
          <w:szCs w:val="21"/>
          <w14:ligatures w14:val="none"/>
        </w:rPr>
        <w:t xml:space="preserve">) have started cannibalizing traditional remittance volumes for small-value transfers, offering costs as low as </w:t>
      </w:r>
      <w:r w:rsidRPr="005569B6">
        <w:rPr>
          <w:rFonts w:eastAsia="Times New Roman" w:cs="Times New Roman"/>
          <w:b/>
          <w:bCs/>
          <w:kern w:val="0"/>
          <w:sz w:val="21"/>
          <w:szCs w:val="21"/>
          <w14:ligatures w14:val="none"/>
        </w:rPr>
        <w:t>1%</w:t>
      </w:r>
      <w:r w:rsidRPr="005569B6">
        <w:rPr>
          <w:rFonts w:eastAsia="Times New Roman" w:cs="Times New Roman"/>
          <w:kern w:val="0"/>
          <w:sz w:val="21"/>
          <w:szCs w:val="21"/>
          <w14:ligatures w14:val="none"/>
        </w:rPr>
        <w:t>.</w:t>
      </w:r>
    </w:p>
    <w:p w14:paraId="37354C0A" w14:textId="77777777" w:rsidR="005569B6" w:rsidRPr="005569B6" w:rsidRDefault="005569B6" w:rsidP="005569B6">
      <w:pPr>
        <w:numPr>
          <w:ilvl w:val="0"/>
          <w:numId w:val="1"/>
        </w:numPr>
        <w:spacing w:before="100" w:beforeAutospacing="1" w:after="100" w:afterAutospacing="1"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The "Japan-Vietnam" Surge:</w:t>
      </w:r>
      <w:r w:rsidRPr="005569B6">
        <w:rPr>
          <w:rFonts w:eastAsia="Times New Roman" w:cs="Times New Roman"/>
          <w:kern w:val="0"/>
          <w:sz w:val="21"/>
          <w:szCs w:val="21"/>
          <w14:ligatures w14:val="none"/>
        </w:rPr>
        <w:t xml:space="preserve"> The fastest-growing corridor in Asia by volume is </w:t>
      </w:r>
      <w:r w:rsidRPr="005569B6">
        <w:rPr>
          <w:rFonts w:eastAsia="Times New Roman" w:cs="Times New Roman"/>
          <w:b/>
          <w:bCs/>
          <w:kern w:val="0"/>
          <w:sz w:val="21"/>
          <w:szCs w:val="21"/>
          <w14:ligatures w14:val="none"/>
        </w:rPr>
        <w:t>Japan to Vietnam</w:t>
      </w:r>
      <w:r w:rsidRPr="005569B6">
        <w:rPr>
          <w:rFonts w:eastAsia="Times New Roman" w:cs="Times New Roman"/>
          <w:kern w:val="0"/>
          <w:sz w:val="21"/>
          <w:szCs w:val="21"/>
          <w14:ligatures w14:val="none"/>
        </w:rPr>
        <w:t xml:space="preserve">, driven by the massive influx of Vietnamese "Technical Interns." Aggregators like </w:t>
      </w:r>
      <w:r w:rsidRPr="005569B6">
        <w:rPr>
          <w:rFonts w:eastAsia="Times New Roman" w:cs="Times New Roman"/>
          <w:b/>
          <w:bCs/>
          <w:kern w:val="0"/>
          <w:sz w:val="21"/>
          <w:szCs w:val="21"/>
          <w14:ligatures w14:val="none"/>
        </w:rPr>
        <w:t>Smiles</w:t>
      </w:r>
      <w:r w:rsidRPr="005569B6">
        <w:rPr>
          <w:rFonts w:eastAsia="Times New Roman" w:cs="Times New Roman"/>
          <w:kern w:val="0"/>
          <w:sz w:val="21"/>
          <w:szCs w:val="21"/>
          <w14:ligatures w14:val="none"/>
        </w:rPr>
        <w:t xml:space="preserve"> and </w:t>
      </w:r>
      <w:r w:rsidRPr="005569B6">
        <w:rPr>
          <w:rFonts w:eastAsia="Times New Roman" w:cs="Times New Roman"/>
          <w:b/>
          <w:bCs/>
          <w:kern w:val="0"/>
          <w:sz w:val="21"/>
          <w:szCs w:val="21"/>
          <w14:ligatures w14:val="none"/>
        </w:rPr>
        <w:t>Kyodai</w:t>
      </w:r>
      <w:r w:rsidRPr="005569B6">
        <w:rPr>
          <w:rFonts w:eastAsia="Times New Roman" w:cs="Times New Roman"/>
          <w:kern w:val="0"/>
          <w:sz w:val="21"/>
          <w:szCs w:val="21"/>
          <w14:ligatures w14:val="none"/>
        </w:rPr>
        <w:t xml:space="preserve"> have launched dedicated Vietnamese-language platforms to capture this market.</w:t>
      </w:r>
    </w:p>
    <w:p w14:paraId="12B2DD63" w14:textId="77777777" w:rsidR="005569B6" w:rsidRPr="005569B6" w:rsidRDefault="005569B6" w:rsidP="005569B6">
      <w:pPr>
        <w:numPr>
          <w:ilvl w:val="0"/>
          <w:numId w:val="1"/>
        </w:numPr>
        <w:spacing w:before="100" w:beforeAutospacing="1" w:after="100" w:afterAutospacing="1"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Regulatory Licensing:</w:t>
      </w:r>
      <w:r w:rsidRPr="005569B6">
        <w:rPr>
          <w:rFonts w:eastAsia="Times New Roman" w:cs="Times New Roman"/>
          <w:kern w:val="0"/>
          <w:sz w:val="21"/>
          <w:szCs w:val="21"/>
          <w14:ligatures w14:val="none"/>
        </w:rPr>
        <w:t xml:space="preserve"> South Korea and Taiwan have recently loosened licensing for "Non-bank Remittance Providers." This has led to a price war in the South Korea-to-Philippines corridor, where costs have dropped from </w:t>
      </w:r>
      <w:r w:rsidRPr="005569B6">
        <w:rPr>
          <w:rFonts w:eastAsia="Times New Roman" w:cs="Times New Roman"/>
          <w:b/>
          <w:bCs/>
          <w:kern w:val="0"/>
          <w:sz w:val="21"/>
          <w:szCs w:val="21"/>
          <w14:ligatures w14:val="none"/>
        </w:rPr>
        <w:t>7% in 2022 to ~3.5% in 2025</w:t>
      </w:r>
      <w:r w:rsidRPr="005569B6">
        <w:rPr>
          <w:rFonts w:eastAsia="Times New Roman" w:cs="Times New Roman"/>
          <w:kern w:val="0"/>
          <w:sz w:val="21"/>
          <w:szCs w:val="21"/>
          <w14:ligatures w14:val="none"/>
        </w:rPr>
        <w:t>.</w:t>
      </w:r>
    </w:p>
    <w:p w14:paraId="72E3CE2B" w14:textId="77777777" w:rsidR="005569B6" w:rsidRPr="005569B6" w:rsidRDefault="005569B6" w:rsidP="005569B6">
      <w:pPr>
        <w:spacing w:before="100" w:beforeAutospacing="1" w:after="100" w:afterAutospacing="1" w:line="240" w:lineRule="auto"/>
        <w:outlineLvl w:val="2"/>
        <w:rPr>
          <w:rFonts w:eastAsia="Times New Roman" w:cs="Times New Roman"/>
          <w:b/>
          <w:bCs/>
          <w:kern w:val="0"/>
          <w14:ligatures w14:val="none"/>
        </w:rPr>
      </w:pPr>
      <w:r w:rsidRPr="005569B6">
        <w:rPr>
          <w:rFonts w:eastAsia="Times New Roman" w:cs="Times New Roman"/>
          <w:b/>
          <w:bCs/>
          <w:kern w:val="0"/>
          <w14:ligatures w14:val="none"/>
        </w:rPr>
        <w:t>Data Source Summary</w:t>
      </w:r>
    </w:p>
    <w:p w14:paraId="28693219" w14:textId="77777777" w:rsidR="005569B6" w:rsidRPr="005569B6" w:rsidRDefault="005569B6" w:rsidP="005569B6">
      <w:pPr>
        <w:numPr>
          <w:ilvl w:val="0"/>
          <w:numId w:val="2"/>
        </w:numPr>
        <w:spacing w:before="100" w:beforeAutospacing="1" w:after="100" w:afterAutospacing="1"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Volumes:</w:t>
      </w:r>
      <w:r w:rsidRPr="005569B6">
        <w:rPr>
          <w:rFonts w:eastAsia="Times New Roman" w:cs="Times New Roman"/>
          <w:kern w:val="0"/>
          <w:sz w:val="21"/>
          <w:szCs w:val="21"/>
          <w14:ligatures w14:val="none"/>
        </w:rPr>
        <w:t xml:space="preserve"> 2024 Annual Totals from Central Bank Balance of Payments (BOP).</w:t>
      </w:r>
    </w:p>
    <w:p w14:paraId="66B3A0E7" w14:textId="77777777" w:rsidR="005569B6" w:rsidRPr="005569B6" w:rsidRDefault="005569B6" w:rsidP="005569B6">
      <w:pPr>
        <w:numPr>
          <w:ilvl w:val="0"/>
          <w:numId w:val="2"/>
        </w:numPr>
        <w:spacing w:before="100" w:beforeAutospacing="1" w:after="100" w:afterAutospacing="1"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Costs:</w:t>
      </w:r>
      <w:r w:rsidRPr="005569B6">
        <w:rPr>
          <w:rFonts w:eastAsia="Times New Roman" w:cs="Times New Roman"/>
          <w:kern w:val="0"/>
          <w:sz w:val="21"/>
          <w:szCs w:val="21"/>
          <w14:ligatures w14:val="none"/>
        </w:rPr>
        <w:t xml:space="preserve"> World Bank Remittance Prices Worldwide (RPW) Q4 2024 and Q1 2025 monitoring.</w:t>
      </w:r>
    </w:p>
    <w:p w14:paraId="0916F47C" w14:textId="449E7BE0" w:rsidR="00A03483" w:rsidRPr="005569B6" w:rsidRDefault="005569B6" w:rsidP="005569B6">
      <w:pPr>
        <w:numPr>
          <w:ilvl w:val="0"/>
          <w:numId w:val="2"/>
        </w:numPr>
        <w:spacing w:before="100" w:beforeAutospacing="1" w:after="100" w:afterAutospacing="1" w:line="240" w:lineRule="auto"/>
        <w:rPr>
          <w:rFonts w:eastAsia="Times New Roman" w:cs="Times New Roman"/>
          <w:kern w:val="0"/>
          <w:sz w:val="21"/>
          <w:szCs w:val="21"/>
          <w14:ligatures w14:val="none"/>
        </w:rPr>
      </w:pPr>
      <w:r w:rsidRPr="005569B6">
        <w:rPr>
          <w:rFonts w:eastAsia="Times New Roman" w:cs="Times New Roman"/>
          <w:b/>
          <w:bCs/>
          <w:kern w:val="0"/>
          <w:sz w:val="21"/>
          <w:szCs w:val="21"/>
          <w14:ligatures w14:val="none"/>
        </w:rPr>
        <w:t>Aggregator Identification:</w:t>
      </w:r>
      <w:r w:rsidRPr="005569B6">
        <w:rPr>
          <w:rFonts w:eastAsia="Times New Roman" w:cs="Times New Roman"/>
          <w:kern w:val="0"/>
          <w:sz w:val="21"/>
          <w:szCs w:val="21"/>
          <w14:ligatures w14:val="none"/>
        </w:rPr>
        <w:t xml:space="preserve"> </w:t>
      </w:r>
      <w:r w:rsidRPr="005569B6">
        <w:rPr>
          <w:rFonts w:eastAsia="Times New Roman" w:cs="Times New Roman"/>
          <w:i/>
          <w:iCs/>
          <w:kern w:val="0"/>
          <w:sz w:val="21"/>
          <w:szCs w:val="21"/>
          <w14:ligatures w14:val="none"/>
        </w:rPr>
        <w:t>Asian Banker</w:t>
      </w:r>
      <w:r w:rsidRPr="005569B6">
        <w:rPr>
          <w:rFonts w:eastAsia="Times New Roman" w:cs="Times New Roman"/>
          <w:kern w:val="0"/>
          <w:sz w:val="21"/>
          <w:szCs w:val="21"/>
          <w14:ligatures w14:val="none"/>
        </w:rPr>
        <w:t xml:space="preserve"> Fintech Rankings and </w:t>
      </w:r>
      <w:r w:rsidRPr="005569B6">
        <w:rPr>
          <w:rFonts w:eastAsia="Times New Roman" w:cs="Times New Roman"/>
          <w:i/>
          <w:iCs/>
          <w:kern w:val="0"/>
          <w:sz w:val="21"/>
          <w:szCs w:val="21"/>
          <w14:ligatures w14:val="none"/>
        </w:rPr>
        <w:t>FXC Intelligence</w:t>
      </w:r>
      <w:r w:rsidRPr="005569B6">
        <w:rPr>
          <w:rFonts w:eastAsia="Times New Roman" w:cs="Times New Roman"/>
          <w:kern w:val="0"/>
          <w:sz w:val="21"/>
          <w:szCs w:val="21"/>
          <w14:ligatures w14:val="none"/>
        </w:rPr>
        <w:t xml:space="preserve"> 2025 Cross-Border Map.</w:t>
      </w:r>
    </w:p>
    <w:sectPr w:rsidR="00A03483" w:rsidRPr="005569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76E8B"/>
    <w:multiLevelType w:val="multilevel"/>
    <w:tmpl w:val="51C0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E51529"/>
    <w:multiLevelType w:val="multilevel"/>
    <w:tmpl w:val="F1644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0718348">
    <w:abstractNumId w:val="1"/>
  </w:num>
  <w:num w:numId="2" w16cid:durableId="715085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EwtTQ0MzY1MDE0NDZV0lEKTi0uzszPAykwrAUApe17iSwAAAA="/>
  </w:docVars>
  <w:rsids>
    <w:rsidRoot w:val="005569B6"/>
    <w:rsid w:val="005020E7"/>
    <w:rsid w:val="005569B6"/>
    <w:rsid w:val="006556CF"/>
    <w:rsid w:val="0098613E"/>
    <w:rsid w:val="00A03483"/>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3392F"/>
  <w15:chartTrackingRefBased/>
  <w15:docId w15:val="{60265E30-D171-4670-A9C4-E1DD74AA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69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9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569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9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9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9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9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9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9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9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9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569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9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9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9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9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9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9B6"/>
    <w:rPr>
      <w:rFonts w:eastAsiaTheme="majorEastAsia" w:cstheme="majorBidi"/>
      <w:color w:val="272727" w:themeColor="text1" w:themeTint="D8"/>
    </w:rPr>
  </w:style>
  <w:style w:type="paragraph" w:styleId="Title">
    <w:name w:val="Title"/>
    <w:basedOn w:val="Normal"/>
    <w:next w:val="Normal"/>
    <w:link w:val="TitleChar"/>
    <w:uiPriority w:val="10"/>
    <w:qFormat/>
    <w:rsid w:val="005569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9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9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9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9B6"/>
    <w:pPr>
      <w:spacing w:before="160"/>
      <w:jc w:val="center"/>
    </w:pPr>
    <w:rPr>
      <w:i/>
      <w:iCs/>
      <w:color w:val="404040" w:themeColor="text1" w:themeTint="BF"/>
    </w:rPr>
  </w:style>
  <w:style w:type="character" w:customStyle="1" w:styleId="QuoteChar">
    <w:name w:val="Quote Char"/>
    <w:basedOn w:val="DefaultParagraphFont"/>
    <w:link w:val="Quote"/>
    <w:uiPriority w:val="29"/>
    <w:rsid w:val="005569B6"/>
    <w:rPr>
      <w:i/>
      <w:iCs/>
      <w:color w:val="404040" w:themeColor="text1" w:themeTint="BF"/>
    </w:rPr>
  </w:style>
  <w:style w:type="paragraph" w:styleId="ListParagraph">
    <w:name w:val="List Paragraph"/>
    <w:basedOn w:val="Normal"/>
    <w:uiPriority w:val="34"/>
    <w:qFormat/>
    <w:rsid w:val="005569B6"/>
    <w:pPr>
      <w:ind w:left="720"/>
      <w:contextualSpacing/>
    </w:pPr>
  </w:style>
  <w:style w:type="character" w:styleId="IntenseEmphasis">
    <w:name w:val="Intense Emphasis"/>
    <w:basedOn w:val="DefaultParagraphFont"/>
    <w:uiPriority w:val="21"/>
    <w:qFormat/>
    <w:rsid w:val="005569B6"/>
    <w:rPr>
      <w:i/>
      <w:iCs/>
      <w:color w:val="0F4761" w:themeColor="accent1" w:themeShade="BF"/>
    </w:rPr>
  </w:style>
  <w:style w:type="paragraph" w:styleId="IntenseQuote">
    <w:name w:val="Intense Quote"/>
    <w:basedOn w:val="Normal"/>
    <w:next w:val="Normal"/>
    <w:link w:val="IntenseQuoteChar"/>
    <w:uiPriority w:val="30"/>
    <w:qFormat/>
    <w:rsid w:val="005569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9B6"/>
    <w:rPr>
      <w:i/>
      <w:iCs/>
      <w:color w:val="0F4761" w:themeColor="accent1" w:themeShade="BF"/>
    </w:rPr>
  </w:style>
  <w:style w:type="character" w:styleId="IntenseReference">
    <w:name w:val="Intense Reference"/>
    <w:basedOn w:val="DefaultParagraphFont"/>
    <w:uiPriority w:val="32"/>
    <w:qFormat/>
    <w:rsid w:val="005569B6"/>
    <w:rPr>
      <w:b/>
      <w:bCs/>
      <w:smallCaps/>
      <w:color w:val="0F4761" w:themeColor="accent1" w:themeShade="BF"/>
      <w:spacing w:val="5"/>
    </w:rPr>
  </w:style>
  <w:style w:type="paragraph" w:customStyle="1" w:styleId="ng-star-inserted">
    <w:name w:val="ng-star-inserted"/>
    <w:basedOn w:val="Normal"/>
    <w:rsid w:val="005569B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556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640</Words>
  <Characters>3833</Characters>
  <Application>Microsoft Office Word</Application>
  <DocSecurity>0</DocSecurity>
  <Lines>174</Lines>
  <Paragraphs>127</Paragraphs>
  <ScaleCrop>false</ScaleCrop>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1</cp:revision>
  <dcterms:created xsi:type="dcterms:W3CDTF">2026-02-06T13:46:00Z</dcterms:created>
  <dcterms:modified xsi:type="dcterms:W3CDTF">2026-02-06T13:49:00Z</dcterms:modified>
</cp:coreProperties>
</file>