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6519" w14:textId="0E257A0A" w:rsidR="007454ED" w:rsidRDefault="00000000">
      <w:pPr>
        <w:pStyle w:val="Heading1"/>
      </w:pPr>
      <w:bookmarkStart w:id="0" w:name="gscx-group"/>
      <w:r>
        <w:t>GSCX</w:t>
      </w:r>
    </w:p>
    <w:p w14:paraId="74CE45B9" w14:textId="77777777" w:rsidR="007454ED" w:rsidRDefault="00000000">
      <w:pPr>
        <w:pStyle w:val="Heading1"/>
      </w:pPr>
      <w:bookmarkStart w:id="1" w:name="sample-transaction-economics-use-cases"/>
      <w:bookmarkEnd w:id="0"/>
      <w:r>
        <w:t>Sample Transaction Economics &amp; Use Cases</w:t>
      </w:r>
    </w:p>
    <w:p w14:paraId="2855BBA6" w14:textId="77777777" w:rsidR="007454ED" w:rsidRDefault="00000000">
      <w:pPr>
        <w:pStyle w:val="Heading2"/>
      </w:pPr>
      <w:bookmarkStart w:id="2" w:name="Xc7e12a35405522f55cbf916d1af6c45209979bb"/>
      <w:r>
        <w:t>Illustrative Examples of How the GSCX Ecosystem Creates Value</w:t>
      </w:r>
    </w:p>
    <w:p w14:paraId="7C0CA971" w14:textId="77777777" w:rsidR="007454ED" w:rsidRDefault="00000000">
      <w:r>
        <w:pict w14:anchorId="316F46EE">
          <v:rect id="_x0000_i1025" style="width:0;height:1.5pt" o:hralign="center" o:hrstd="t" o:hr="t"/>
        </w:pict>
      </w:r>
    </w:p>
    <w:p w14:paraId="0CCD4199" w14:textId="77777777" w:rsidR="007454ED" w:rsidRDefault="00000000">
      <w:pPr>
        <w:pStyle w:val="Heading1"/>
      </w:pPr>
      <w:bookmarkStart w:id="3" w:name="purpose"/>
      <w:bookmarkEnd w:id="1"/>
      <w:bookmarkEnd w:id="2"/>
      <w:r>
        <w:t>Purpose</w:t>
      </w:r>
    </w:p>
    <w:p w14:paraId="395A53A3" w14:textId="77777777" w:rsidR="007454ED" w:rsidRDefault="00000000">
      <w:pPr>
        <w:pStyle w:val="FirstParagraph"/>
      </w:pPr>
      <w:r>
        <w:t>The following scenarios are illustrative examples designed to demonstrate how the GSCX ecosystem may support various participants, transaction types, and jurisdictions.</w:t>
      </w:r>
    </w:p>
    <w:p w14:paraId="594771E0" w14:textId="77777777" w:rsidR="007454ED" w:rsidRDefault="00000000">
      <w:pPr>
        <w:pStyle w:val="BodyText"/>
      </w:pPr>
      <w:r>
        <w:t>These examples are not projections of actual transaction activity or financial performance.</w:t>
      </w:r>
    </w:p>
    <w:p w14:paraId="24E87A2A" w14:textId="77777777" w:rsidR="007454ED" w:rsidRDefault="00000000">
      <w:pPr>
        <w:pStyle w:val="BodyText"/>
      </w:pPr>
      <w:r>
        <w:t>Their purpose is to help investors, regulators, financial institutions, family offices, and strategic partners understand how the GSCX infrastructure may be utilized once operational.</w:t>
      </w:r>
    </w:p>
    <w:p w14:paraId="05A3644B" w14:textId="77777777" w:rsidR="007454ED" w:rsidRDefault="00000000">
      <w:r>
        <w:pict w14:anchorId="1500E3C4">
          <v:rect id="_x0000_i1026" style="width:0;height:1.5pt" o:hralign="center" o:hrstd="t" o:hr="t"/>
        </w:pict>
      </w:r>
    </w:p>
    <w:p w14:paraId="684B4C36" w14:textId="77777777" w:rsidR="007454ED" w:rsidRDefault="00000000">
      <w:pPr>
        <w:pStyle w:val="Heading1"/>
      </w:pPr>
      <w:bookmarkStart w:id="4" w:name="why-this-matters"/>
      <w:bookmarkEnd w:id="3"/>
      <w:r>
        <w:t>Why This Matters</w:t>
      </w:r>
    </w:p>
    <w:p w14:paraId="2BB7B1F3" w14:textId="77777777" w:rsidR="007454ED" w:rsidRDefault="00000000">
      <w:pPr>
        <w:pStyle w:val="FirstParagraph"/>
      </w:pPr>
      <w:r>
        <w:t>GSCX is not designed around a single industry, trade corridor, customer type, or transaction structure.</w:t>
      </w:r>
    </w:p>
    <w:p w14:paraId="41327432" w14:textId="77777777" w:rsidR="007454ED" w:rsidRDefault="00000000">
      <w:pPr>
        <w:pStyle w:val="BodyText"/>
      </w:pPr>
      <w:r>
        <w:t>The platform is intended to provide institutional infrastructure that supports:</w:t>
      </w:r>
    </w:p>
    <w:p w14:paraId="47A06F7D" w14:textId="77777777" w:rsidR="007454ED" w:rsidRDefault="00000000">
      <w:pPr>
        <w:pStyle w:val="Compact"/>
        <w:numPr>
          <w:ilvl w:val="0"/>
          <w:numId w:val="2"/>
        </w:numPr>
      </w:pPr>
      <w:r>
        <w:t>Cross-Border Trade</w:t>
      </w:r>
    </w:p>
    <w:p w14:paraId="70E1F9A1" w14:textId="77777777" w:rsidR="007454ED" w:rsidRDefault="00000000">
      <w:pPr>
        <w:pStyle w:val="Compact"/>
        <w:numPr>
          <w:ilvl w:val="0"/>
          <w:numId w:val="2"/>
        </w:numPr>
      </w:pPr>
      <w:r>
        <w:t>Trade Finance Facilitation</w:t>
      </w:r>
    </w:p>
    <w:p w14:paraId="283292EC" w14:textId="77777777" w:rsidR="007454ED" w:rsidRDefault="00000000">
      <w:pPr>
        <w:pStyle w:val="Compact"/>
        <w:numPr>
          <w:ilvl w:val="0"/>
          <w:numId w:val="2"/>
        </w:numPr>
      </w:pPr>
      <w:r>
        <w:t>Capital Formation</w:t>
      </w:r>
    </w:p>
    <w:p w14:paraId="373B1DE9" w14:textId="77777777" w:rsidR="007454ED" w:rsidRDefault="00000000">
      <w:pPr>
        <w:pStyle w:val="Compact"/>
        <w:numPr>
          <w:ilvl w:val="0"/>
          <w:numId w:val="2"/>
        </w:numPr>
      </w:pPr>
      <w:r>
        <w:t>Family Office Investments</w:t>
      </w:r>
    </w:p>
    <w:p w14:paraId="71F733A1" w14:textId="77777777" w:rsidR="007454ED" w:rsidRDefault="00000000">
      <w:pPr>
        <w:pStyle w:val="Compact"/>
        <w:numPr>
          <w:ilvl w:val="0"/>
          <w:numId w:val="2"/>
        </w:numPr>
      </w:pPr>
      <w:r>
        <w:t>Settlement &amp; Custody Services</w:t>
      </w:r>
    </w:p>
    <w:p w14:paraId="3384AC56" w14:textId="77777777" w:rsidR="007454ED" w:rsidRDefault="00000000">
      <w:pPr>
        <w:pStyle w:val="Compact"/>
        <w:numPr>
          <w:ilvl w:val="0"/>
          <w:numId w:val="2"/>
        </w:numPr>
      </w:pPr>
      <w:r>
        <w:t>Risk Management</w:t>
      </w:r>
    </w:p>
    <w:p w14:paraId="03D43B09" w14:textId="77777777" w:rsidR="007454ED" w:rsidRDefault="00000000">
      <w:pPr>
        <w:pStyle w:val="Compact"/>
        <w:numPr>
          <w:ilvl w:val="0"/>
          <w:numId w:val="2"/>
        </w:numPr>
      </w:pPr>
      <w:r>
        <w:t>Regulatory Compliance</w:t>
      </w:r>
    </w:p>
    <w:p w14:paraId="7FE968EF" w14:textId="77777777" w:rsidR="007454ED" w:rsidRDefault="00000000">
      <w:pPr>
        <w:pStyle w:val="Compact"/>
        <w:numPr>
          <w:ilvl w:val="0"/>
          <w:numId w:val="2"/>
        </w:numPr>
      </w:pPr>
      <w:r>
        <w:t>Liquidity Coordination</w:t>
      </w:r>
    </w:p>
    <w:p w14:paraId="386BA085" w14:textId="77777777" w:rsidR="007454ED" w:rsidRDefault="00000000">
      <w:pPr>
        <w:pStyle w:val="FirstParagraph"/>
      </w:pPr>
      <w:r>
        <w:t>The following examples demonstrate how different participants may utilize the same infrastructure framework.</w:t>
      </w:r>
    </w:p>
    <w:p w14:paraId="13F9E65C" w14:textId="77777777" w:rsidR="007454ED" w:rsidRDefault="00000000">
      <w:r>
        <w:pict w14:anchorId="5E2E9EBB">
          <v:rect id="_x0000_i1027" style="width:0;height:1.5pt" o:hralign="center" o:hrstd="t" o:hr="t"/>
        </w:pict>
      </w:r>
    </w:p>
    <w:p w14:paraId="75071B4E" w14:textId="77777777" w:rsidR="007454ED" w:rsidRDefault="00000000">
      <w:pPr>
        <w:pStyle w:val="Heading1"/>
      </w:pPr>
      <w:bookmarkStart w:id="5" w:name="scenario-a"/>
      <w:bookmarkEnd w:id="4"/>
      <w:r>
        <w:lastRenderedPageBreak/>
        <w:t>Scenario A</w:t>
      </w:r>
    </w:p>
    <w:p w14:paraId="2CAF6EE8" w14:textId="77777777" w:rsidR="007454ED" w:rsidRDefault="00000000">
      <w:pPr>
        <w:pStyle w:val="Heading2"/>
      </w:pPr>
      <w:bookmarkStart w:id="6" w:name="X1c1e03a4813eb9eb53d9513e572bc8c10ba0d0e"/>
      <w:r>
        <w:t>U.S. Agricultural Equipment Export to India</w:t>
      </w:r>
    </w:p>
    <w:p w14:paraId="613E7F97" w14:textId="77777777" w:rsidR="007454ED" w:rsidRDefault="00000000">
      <w:pPr>
        <w:pStyle w:val="Heading3"/>
      </w:pPr>
      <w:bookmarkStart w:id="7" w:name="objective"/>
      <w:r>
        <w:t>Objective</w:t>
      </w:r>
    </w:p>
    <w:p w14:paraId="35B19E5F" w14:textId="77777777" w:rsidR="007454ED" w:rsidRDefault="00000000">
      <w:pPr>
        <w:pStyle w:val="FirstParagraph"/>
      </w:pPr>
      <w:r>
        <w:t>Demonstrate how GSCX may facilitate a traditional cross-border trade transaction.</w:t>
      </w:r>
    </w:p>
    <w:p w14:paraId="7A15662B" w14:textId="77777777" w:rsidR="007454ED" w:rsidRDefault="00000000">
      <w:pPr>
        <w:pStyle w:val="Heading3"/>
      </w:pPr>
      <w:bookmarkStart w:id="8" w:name="participants"/>
      <w:bookmarkEnd w:id="7"/>
      <w:r>
        <w:t>Participants</w:t>
      </w:r>
    </w:p>
    <w:p w14:paraId="21FD80A6" w14:textId="77777777" w:rsidR="007454ED" w:rsidRDefault="00000000">
      <w:pPr>
        <w:pStyle w:val="Compact"/>
        <w:numPr>
          <w:ilvl w:val="0"/>
          <w:numId w:val="3"/>
        </w:numPr>
      </w:pPr>
      <w:r>
        <w:t>U.S. Agricultural Equipment Manufacturer</w:t>
      </w:r>
    </w:p>
    <w:p w14:paraId="153D320E" w14:textId="77777777" w:rsidR="007454ED" w:rsidRDefault="00000000">
      <w:pPr>
        <w:pStyle w:val="Compact"/>
        <w:numPr>
          <w:ilvl w:val="0"/>
          <w:numId w:val="3"/>
        </w:numPr>
      </w:pPr>
      <w:r>
        <w:t>Indian Agricultural Equipment Distributor</w:t>
      </w:r>
    </w:p>
    <w:p w14:paraId="67B5FD14" w14:textId="77777777" w:rsidR="007454ED" w:rsidRDefault="00000000">
      <w:pPr>
        <w:pStyle w:val="Compact"/>
        <w:numPr>
          <w:ilvl w:val="0"/>
          <w:numId w:val="3"/>
        </w:numPr>
      </w:pPr>
      <w:r>
        <w:t>Liquidity Provider</w:t>
      </w:r>
    </w:p>
    <w:p w14:paraId="4BBAD8BC" w14:textId="77777777" w:rsidR="007454ED" w:rsidRDefault="00000000">
      <w:pPr>
        <w:pStyle w:val="Compact"/>
        <w:numPr>
          <w:ilvl w:val="0"/>
          <w:numId w:val="3"/>
        </w:numPr>
      </w:pPr>
      <w:r>
        <w:t>Insurance Provider</w:t>
      </w:r>
    </w:p>
    <w:p w14:paraId="5A19706C" w14:textId="77777777" w:rsidR="007454ED" w:rsidRDefault="00000000">
      <w:pPr>
        <w:pStyle w:val="Compact"/>
        <w:numPr>
          <w:ilvl w:val="0"/>
          <w:numId w:val="3"/>
        </w:numPr>
      </w:pPr>
      <w:r>
        <w:t>Logistics Provider</w:t>
      </w:r>
    </w:p>
    <w:p w14:paraId="1CFACE0E" w14:textId="77777777" w:rsidR="007454ED" w:rsidRDefault="00000000">
      <w:pPr>
        <w:pStyle w:val="Compact"/>
        <w:numPr>
          <w:ilvl w:val="0"/>
          <w:numId w:val="3"/>
        </w:numPr>
      </w:pPr>
      <w:r>
        <w:t>GSCX Settlement Infrastructure</w:t>
      </w:r>
    </w:p>
    <w:p w14:paraId="5CBFBB5D" w14:textId="77777777" w:rsidR="007454ED" w:rsidRDefault="00000000">
      <w:pPr>
        <w:pStyle w:val="Heading3"/>
      </w:pPr>
      <w:bookmarkStart w:id="9" w:name="illustrative-transaction-value"/>
      <w:bookmarkEnd w:id="8"/>
      <w:r>
        <w:t>Illustrative Transaction Value</w:t>
      </w:r>
    </w:p>
    <w:p w14:paraId="4283B52D" w14:textId="77777777" w:rsidR="007454ED" w:rsidRDefault="00000000">
      <w:pPr>
        <w:pStyle w:val="FirstParagraph"/>
      </w:pPr>
      <w:r>
        <w:t>£1,000,000</w:t>
      </w:r>
    </w:p>
    <w:p w14:paraId="51CA69BF" w14:textId="77777777" w:rsidR="007454ED" w:rsidRDefault="00000000">
      <w:pPr>
        <w:pStyle w:val="Heading3"/>
      </w:pPr>
      <w:bookmarkStart w:id="10" w:name="current-market-challenge"/>
      <w:bookmarkEnd w:id="9"/>
      <w:r>
        <w:t>Current Market Challenge</w:t>
      </w:r>
    </w:p>
    <w:p w14:paraId="5D479B87" w14:textId="77777777" w:rsidR="007454ED" w:rsidRDefault="00000000">
      <w:pPr>
        <w:pStyle w:val="FirstParagraph"/>
      </w:pPr>
      <w:r>
        <w:t>Traditional cross-border trade often involves:</w:t>
      </w:r>
    </w:p>
    <w:p w14:paraId="1F266D66" w14:textId="77777777" w:rsidR="007454ED" w:rsidRDefault="00000000">
      <w:pPr>
        <w:pStyle w:val="Compact"/>
        <w:numPr>
          <w:ilvl w:val="0"/>
          <w:numId w:val="4"/>
        </w:numPr>
      </w:pPr>
      <w:r>
        <w:t>Multiple banks</w:t>
      </w:r>
    </w:p>
    <w:p w14:paraId="203FB65A" w14:textId="77777777" w:rsidR="007454ED" w:rsidRDefault="00000000">
      <w:pPr>
        <w:pStyle w:val="Compact"/>
        <w:numPr>
          <w:ilvl w:val="0"/>
          <w:numId w:val="4"/>
        </w:numPr>
      </w:pPr>
      <w:r>
        <w:t>Correspondent banking relationships</w:t>
      </w:r>
    </w:p>
    <w:p w14:paraId="47435B6F" w14:textId="77777777" w:rsidR="007454ED" w:rsidRDefault="00000000">
      <w:pPr>
        <w:pStyle w:val="Compact"/>
        <w:numPr>
          <w:ilvl w:val="0"/>
          <w:numId w:val="4"/>
        </w:numPr>
      </w:pPr>
      <w:r>
        <w:t>Manual documentation workflows</w:t>
      </w:r>
    </w:p>
    <w:p w14:paraId="7E1788C3" w14:textId="77777777" w:rsidR="007454ED" w:rsidRDefault="00000000">
      <w:pPr>
        <w:pStyle w:val="Compact"/>
        <w:numPr>
          <w:ilvl w:val="0"/>
          <w:numId w:val="4"/>
        </w:numPr>
      </w:pPr>
      <w:r>
        <w:t>Extended settlement timelines</w:t>
      </w:r>
    </w:p>
    <w:p w14:paraId="67E6A011" w14:textId="77777777" w:rsidR="007454ED" w:rsidRDefault="00000000">
      <w:pPr>
        <w:pStyle w:val="Compact"/>
        <w:numPr>
          <w:ilvl w:val="0"/>
          <w:numId w:val="4"/>
        </w:numPr>
      </w:pPr>
      <w:r>
        <w:t>Increased transaction costs</w:t>
      </w:r>
    </w:p>
    <w:p w14:paraId="15979680" w14:textId="77777777" w:rsidR="007454ED" w:rsidRDefault="00000000">
      <w:pPr>
        <w:pStyle w:val="Compact"/>
        <w:numPr>
          <w:ilvl w:val="0"/>
          <w:numId w:val="4"/>
        </w:numPr>
      </w:pPr>
      <w:r>
        <w:t>Limited trade finance accessibility</w:t>
      </w:r>
    </w:p>
    <w:p w14:paraId="73757CAC" w14:textId="77777777" w:rsidR="007454ED" w:rsidRDefault="00000000">
      <w:pPr>
        <w:pStyle w:val="Heading3"/>
      </w:pPr>
      <w:bookmarkStart w:id="11" w:name="illustrative-gscx-services"/>
      <w:bookmarkEnd w:id="10"/>
      <w:r>
        <w:t>Illustrative GSCX Services</w:t>
      </w:r>
    </w:p>
    <w:p w14:paraId="7D3CB9F5" w14:textId="77777777" w:rsidR="007454ED" w:rsidRDefault="00000000">
      <w:pPr>
        <w:pStyle w:val="Compact"/>
        <w:numPr>
          <w:ilvl w:val="0"/>
          <w:numId w:val="5"/>
        </w:numPr>
      </w:pPr>
      <w:r>
        <w:t>Participant Verification</w:t>
      </w:r>
    </w:p>
    <w:p w14:paraId="1DB6E65D" w14:textId="77777777" w:rsidR="007454ED" w:rsidRDefault="00000000">
      <w:pPr>
        <w:pStyle w:val="Compact"/>
        <w:numPr>
          <w:ilvl w:val="0"/>
          <w:numId w:val="5"/>
        </w:numPr>
      </w:pPr>
      <w:r>
        <w:t>Transaction Registration</w:t>
      </w:r>
    </w:p>
    <w:p w14:paraId="0CB04917" w14:textId="77777777" w:rsidR="007454ED" w:rsidRDefault="00000000">
      <w:pPr>
        <w:pStyle w:val="Compact"/>
        <w:numPr>
          <w:ilvl w:val="0"/>
          <w:numId w:val="5"/>
        </w:numPr>
      </w:pPr>
      <w:r>
        <w:t>Settlement Coordination</w:t>
      </w:r>
    </w:p>
    <w:p w14:paraId="61F0BFE2" w14:textId="77777777" w:rsidR="007454ED" w:rsidRDefault="00000000">
      <w:pPr>
        <w:pStyle w:val="Compact"/>
        <w:numPr>
          <w:ilvl w:val="0"/>
          <w:numId w:val="5"/>
        </w:numPr>
      </w:pPr>
      <w:r>
        <w:t>Custody Services</w:t>
      </w:r>
    </w:p>
    <w:p w14:paraId="6BFE3AB5" w14:textId="77777777" w:rsidR="007454ED" w:rsidRDefault="00000000">
      <w:pPr>
        <w:pStyle w:val="Compact"/>
        <w:numPr>
          <w:ilvl w:val="0"/>
          <w:numId w:val="5"/>
        </w:numPr>
      </w:pPr>
      <w:r>
        <w:t>Trust &amp; Documentation Management</w:t>
      </w:r>
    </w:p>
    <w:p w14:paraId="131F2A64" w14:textId="77777777" w:rsidR="007454ED" w:rsidRDefault="00000000">
      <w:pPr>
        <w:pStyle w:val="Compact"/>
        <w:numPr>
          <w:ilvl w:val="0"/>
          <w:numId w:val="5"/>
        </w:numPr>
      </w:pPr>
      <w:r>
        <w:t>Insurance Integration</w:t>
      </w:r>
    </w:p>
    <w:p w14:paraId="2DAA02E4" w14:textId="77777777" w:rsidR="007454ED" w:rsidRDefault="00000000">
      <w:pPr>
        <w:pStyle w:val="Compact"/>
        <w:numPr>
          <w:ilvl w:val="0"/>
          <w:numId w:val="5"/>
        </w:numPr>
      </w:pPr>
      <w:r>
        <w:t>Compliance Validation</w:t>
      </w:r>
    </w:p>
    <w:p w14:paraId="6E3DA005" w14:textId="77777777" w:rsidR="007454ED" w:rsidRDefault="00000000">
      <w:pPr>
        <w:pStyle w:val="Heading3"/>
      </w:pPr>
      <w:bookmarkStart w:id="12" w:name="potential-revenue-layers-activated"/>
      <w:bookmarkEnd w:id="11"/>
      <w:r>
        <w:t>Potential Revenue Layers Activated</w:t>
      </w:r>
    </w:p>
    <w:p w14:paraId="4D30CCB0" w14:textId="77777777" w:rsidR="007454ED" w:rsidRDefault="00000000">
      <w:pPr>
        <w:pStyle w:val="FirstParagraph"/>
      </w:pPr>
      <w:r>
        <w:t>✓ Membership Revenue</w:t>
      </w:r>
    </w:p>
    <w:p w14:paraId="642952ED" w14:textId="77777777" w:rsidR="007454ED" w:rsidRDefault="00000000">
      <w:pPr>
        <w:pStyle w:val="BodyText"/>
      </w:pPr>
      <w:r>
        <w:lastRenderedPageBreak/>
        <w:t>✓ Transaction Processing Revenue</w:t>
      </w:r>
    </w:p>
    <w:p w14:paraId="205F49E2" w14:textId="77777777" w:rsidR="007454ED" w:rsidRDefault="00000000">
      <w:pPr>
        <w:pStyle w:val="BodyText"/>
      </w:pPr>
      <w:r>
        <w:t>✓ Settlement Revenue</w:t>
      </w:r>
    </w:p>
    <w:p w14:paraId="02A21947" w14:textId="77777777" w:rsidR="007454ED" w:rsidRDefault="00000000">
      <w:pPr>
        <w:pStyle w:val="BodyText"/>
      </w:pPr>
      <w:r>
        <w:t>✓ Custody Revenue</w:t>
      </w:r>
    </w:p>
    <w:p w14:paraId="1FB078C9" w14:textId="77777777" w:rsidR="007454ED" w:rsidRDefault="00000000">
      <w:pPr>
        <w:pStyle w:val="BodyText"/>
      </w:pPr>
      <w:r>
        <w:t>✓ Trust &amp; Tokenization Revenue</w:t>
      </w:r>
    </w:p>
    <w:p w14:paraId="50166F24" w14:textId="77777777" w:rsidR="007454ED" w:rsidRDefault="00000000">
      <w:pPr>
        <w:pStyle w:val="BodyText"/>
      </w:pPr>
      <w:r>
        <w:t>✓ Insurance &amp; Risk Revenue</w:t>
      </w:r>
    </w:p>
    <w:p w14:paraId="07B2AACC" w14:textId="77777777" w:rsidR="007454ED" w:rsidRDefault="00000000">
      <w:pPr>
        <w:pStyle w:val="Heading3"/>
      </w:pPr>
      <w:bookmarkStart w:id="13" w:name="investor-takeaway"/>
      <w:bookmarkEnd w:id="12"/>
      <w:r>
        <w:t>Investor Takeaway</w:t>
      </w:r>
    </w:p>
    <w:p w14:paraId="6C4F0B1B" w14:textId="77777777" w:rsidR="007454ED" w:rsidRDefault="00000000">
      <w:pPr>
        <w:pStyle w:val="FirstParagraph"/>
      </w:pPr>
      <w:r>
        <w:t>Demonstrates how GSCX may reduce friction and improve transparency in traditional international trade transactions.</w:t>
      </w:r>
    </w:p>
    <w:p w14:paraId="2F69F116" w14:textId="77777777" w:rsidR="007454ED" w:rsidRDefault="00000000">
      <w:r>
        <w:pict w14:anchorId="3D8C658B">
          <v:rect id="_x0000_i1028" style="width:0;height:1.5pt" o:hralign="center" o:hrstd="t" o:hr="t"/>
        </w:pict>
      </w:r>
    </w:p>
    <w:p w14:paraId="0E52B096" w14:textId="77777777" w:rsidR="007454ED" w:rsidRDefault="00000000">
      <w:pPr>
        <w:pStyle w:val="Heading1"/>
      </w:pPr>
      <w:bookmarkStart w:id="14" w:name="scenario-b"/>
      <w:bookmarkEnd w:id="5"/>
      <w:bookmarkEnd w:id="6"/>
      <w:bookmarkEnd w:id="13"/>
      <w:r>
        <w:t>Scenario B</w:t>
      </w:r>
    </w:p>
    <w:p w14:paraId="154D2AEF" w14:textId="77777777" w:rsidR="007454ED" w:rsidRDefault="00000000">
      <w:pPr>
        <w:pStyle w:val="Heading2"/>
      </w:pPr>
      <w:bookmarkStart w:id="15" w:name="X9fd2ccc25f49ef4924c735a54a74cf30341aba4"/>
      <w:r>
        <w:t>Zurich Family Office Infrastructure Investment</w:t>
      </w:r>
    </w:p>
    <w:p w14:paraId="4C74CE64" w14:textId="77777777" w:rsidR="007454ED" w:rsidRDefault="00000000">
      <w:pPr>
        <w:pStyle w:val="Heading3"/>
      </w:pPr>
      <w:bookmarkStart w:id="16" w:name="objective-1"/>
      <w:r>
        <w:t>Objective</w:t>
      </w:r>
    </w:p>
    <w:p w14:paraId="381EBBAE" w14:textId="77777777" w:rsidR="007454ED" w:rsidRDefault="00000000">
      <w:pPr>
        <w:pStyle w:val="FirstParagraph"/>
      </w:pPr>
      <w:r>
        <w:t>Demonstrate how family offices may utilize GSCX infrastructure to participate in international investment opportunities.</w:t>
      </w:r>
    </w:p>
    <w:p w14:paraId="0E12C487" w14:textId="77777777" w:rsidR="007454ED" w:rsidRDefault="00000000">
      <w:pPr>
        <w:pStyle w:val="Heading3"/>
      </w:pPr>
      <w:bookmarkStart w:id="17" w:name="participants-1"/>
      <w:bookmarkEnd w:id="16"/>
      <w:r>
        <w:t>Participants</w:t>
      </w:r>
    </w:p>
    <w:p w14:paraId="010A1902" w14:textId="77777777" w:rsidR="007454ED" w:rsidRDefault="00000000">
      <w:pPr>
        <w:pStyle w:val="Compact"/>
        <w:numPr>
          <w:ilvl w:val="0"/>
          <w:numId w:val="6"/>
        </w:numPr>
      </w:pPr>
      <w:r>
        <w:t>Zurich Family Office</w:t>
      </w:r>
    </w:p>
    <w:p w14:paraId="7B6E0A69" w14:textId="77777777" w:rsidR="007454ED" w:rsidRDefault="00000000">
      <w:pPr>
        <w:pStyle w:val="Compact"/>
        <w:numPr>
          <w:ilvl w:val="0"/>
          <w:numId w:val="6"/>
        </w:numPr>
      </w:pPr>
      <w:r>
        <w:t>East African Infrastructure Sponsor</w:t>
      </w:r>
    </w:p>
    <w:p w14:paraId="47925030" w14:textId="77777777" w:rsidR="007454ED" w:rsidRDefault="00000000">
      <w:pPr>
        <w:pStyle w:val="Compact"/>
        <w:numPr>
          <w:ilvl w:val="0"/>
          <w:numId w:val="6"/>
        </w:numPr>
      </w:pPr>
      <w:r>
        <w:t>Insurance Provider</w:t>
      </w:r>
    </w:p>
    <w:p w14:paraId="531B11FC" w14:textId="77777777" w:rsidR="007454ED" w:rsidRDefault="00000000">
      <w:pPr>
        <w:pStyle w:val="Compact"/>
        <w:numPr>
          <w:ilvl w:val="0"/>
          <w:numId w:val="6"/>
        </w:numPr>
      </w:pPr>
      <w:r>
        <w:t>Trustee</w:t>
      </w:r>
    </w:p>
    <w:p w14:paraId="508DD480" w14:textId="77777777" w:rsidR="007454ED" w:rsidRDefault="00000000">
      <w:pPr>
        <w:pStyle w:val="Compact"/>
        <w:numPr>
          <w:ilvl w:val="0"/>
          <w:numId w:val="6"/>
        </w:numPr>
      </w:pPr>
      <w:r>
        <w:t>Settlement Partner</w:t>
      </w:r>
    </w:p>
    <w:p w14:paraId="6C1E182D" w14:textId="77777777" w:rsidR="007454ED" w:rsidRDefault="00000000">
      <w:pPr>
        <w:pStyle w:val="Compact"/>
        <w:numPr>
          <w:ilvl w:val="0"/>
          <w:numId w:val="6"/>
        </w:numPr>
      </w:pPr>
      <w:r>
        <w:t>GSCX Custody Framework</w:t>
      </w:r>
    </w:p>
    <w:p w14:paraId="599262D8" w14:textId="77777777" w:rsidR="007454ED" w:rsidRDefault="00000000">
      <w:pPr>
        <w:pStyle w:val="Heading3"/>
      </w:pPr>
      <w:bookmarkStart w:id="18" w:name="illustrative-transaction-value-1"/>
      <w:bookmarkEnd w:id="17"/>
      <w:r>
        <w:t>Illustrative Transaction Value</w:t>
      </w:r>
    </w:p>
    <w:p w14:paraId="5FE6D2E8" w14:textId="77777777" w:rsidR="007454ED" w:rsidRDefault="00000000">
      <w:pPr>
        <w:pStyle w:val="FirstParagraph"/>
      </w:pPr>
      <w:r>
        <w:t>£5,000,000</w:t>
      </w:r>
    </w:p>
    <w:p w14:paraId="3535F156" w14:textId="77777777" w:rsidR="007454ED" w:rsidRDefault="00000000">
      <w:pPr>
        <w:pStyle w:val="Heading3"/>
      </w:pPr>
      <w:bookmarkStart w:id="19" w:name="current-market-challenge-1"/>
      <w:bookmarkEnd w:id="18"/>
      <w:r>
        <w:t>Current Market Challenge</w:t>
      </w:r>
    </w:p>
    <w:p w14:paraId="71784F06" w14:textId="77777777" w:rsidR="007454ED" w:rsidRDefault="00000000">
      <w:pPr>
        <w:pStyle w:val="FirstParagraph"/>
      </w:pPr>
      <w:r>
        <w:t>Cross-border private investments often require:</w:t>
      </w:r>
    </w:p>
    <w:p w14:paraId="2F7C90C4" w14:textId="77777777" w:rsidR="007454ED" w:rsidRDefault="00000000">
      <w:pPr>
        <w:pStyle w:val="Compact"/>
        <w:numPr>
          <w:ilvl w:val="0"/>
          <w:numId w:val="7"/>
        </w:numPr>
      </w:pPr>
      <w:r>
        <w:t>Multiple jurisdictions</w:t>
      </w:r>
    </w:p>
    <w:p w14:paraId="58CA8525" w14:textId="77777777" w:rsidR="007454ED" w:rsidRDefault="00000000">
      <w:pPr>
        <w:pStyle w:val="Compact"/>
        <w:numPr>
          <w:ilvl w:val="0"/>
          <w:numId w:val="7"/>
        </w:numPr>
      </w:pPr>
      <w:r>
        <w:t>Multiple custodians</w:t>
      </w:r>
    </w:p>
    <w:p w14:paraId="6C62C364" w14:textId="77777777" w:rsidR="007454ED" w:rsidRDefault="00000000">
      <w:pPr>
        <w:pStyle w:val="Compact"/>
        <w:numPr>
          <w:ilvl w:val="0"/>
          <w:numId w:val="7"/>
        </w:numPr>
      </w:pPr>
      <w:r>
        <w:t>Independent verification processes</w:t>
      </w:r>
    </w:p>
    <w:p w14:paraId="23EEC333" w14:textId="77777777" w:rsidR="007454ED" w:rsidRDefault="00000000">
      <w:pPr>
        <w:pStyle w:val="Compact"/>
        <w:numPr>
          <w:ilvl w:val="0"/>
          <w:numId w:val="7"/>
        </w:numPr>
      </w:pPr>
      <w:r>
        <w:t>Significant legal coordination</w:t>
      </w:r>
    </w:p>
    <w:p w14:paraId="19C33659" w14:textId="77777777" w:rsidR="007454ED" w:rsidRDefault="00000000">
      <w:pPr>
        <w:pStyle w:val="Compact"/>
        <w:numPr>
          <w:ilvl w:val="0"/>
          <w:numId w:val="7"/>
        </w:numPr>
      </w:pPr>
      <w:r>
        <w:lastRenderedPageBreak/>
        <w:t>Ongoing governance oversight</w:t>
      </w:r>
    </w:p>
    <w:p w14:paraId="7108BE5C" w14:textId="77777777" w:rsidR="007454ED" w:rsidRDefault="00000000">
      <w:pPr>
        <w:pStyle w:val="Heading3"/>
      </w:pPr>
      <w:bookmarkStart w:id="20" w:name="illustrative-gscx-services-1"/>
      <w:bookmarkEnd w:id="19"/>
      <w:r>
        <w:t>Illustrative GSCX Services</w:t>
      </w:r>
    </w:p>
    <w:p w14:paraId="777BBAF1" w14:textId="77777777" w:rsidR="007454ED" w:rsidRDefault="00000000">
      <w:pPr>
        <w:pStyle w:val="Compact"/>
        <w:numPr>
          <w:ilvl w:val="0"/>
          <w:numId w:val="8"/>
        </w:numPr>
      </w:pPr>
      <w:r>
        <w:t>Capital Custody</w:t>
      </w:r>
    </w:p>
    <w:p w14:paraId="60BFA290" w14:textId="77777777" w:rsidR="007454ED" w:rsidRDefault="00000000">
      <w:pPr>
        <w:pStyle w:val="Compact"/>
        <w:numPr>
          <w:ilvl w:val="0"/>
          <w:numId w:val="8"/>
        </w:numPr>
      </w:pPr>
      <w:r>
        <w:t>Settlement Coordination</w:t>
      </w:r>
    </w:p>
    <w:p w14:paraId="32CC679F" w14:textId="77777777" w:rsidR="007454ED" w:rsidRDefault="00000000">
      <w:pPr>
        <w:pStyle w:val="Compact"/>
        <w:numPr>
          <w:ilvl w:val="0"/>
          <w:numId w:val="8"/>
        </w:numPr>
      </w:pPr>
      <w:r>
        <w:t>Compliance Framework</w:t>
      </w:r>
    </w:p>
    <w:p w14:paraId="66B01B85" w14:textId="77777777" w:rsidR="007454ED" w:rsidRDefault="00000000">
      <w:pPr>
        <w:pStyle w:val="Compact"/>
        <w:numPr>
          <w:ilvl w:val="0"/>
          <w:numId w:val="8"/>
        </w:numPr>
      </w:pPr>
      <w:r>
        <w:t>Trust Administration</w:t>
      </w:r>
    </w:p>
    <w:p w14:paraId="0D1CB894" w14:textId="77777777" w:rsidR="007454ED" w:rsidRDefault="00000000">
      <w:pPr>
        <w:pStyle w:val="Compact"/>
        <w:numPr>
          <w:ilvl w:val="0"/>
          <w:numId w:val="8"/>
        </w:numPr>
      </w:pPr>
      <w:r>
        <w:t>Tokenized Ownership Records</w:t>
      </w:r>
    </w:p>
    <w:p w14:paraId="21E1B187" w14:textId="77777777" w:rsidR="007454ED" w:rsidRDefault="00000000">
      <w:pPr>
        <w:pStyle w:val="Compact"/>
        <w:numPr>
          <w:ilvl w:val="0"/>
          <w:numId w:val="8"/>
        </w:numPr>
      </w:pPr>
      <w:r>
        <w:t>Insurance Coordination</w:t>
      </w:r>
    </w:p>
    <w:p w14:paraId="6A643E83" w14:textId="77777777" w:rsidR="007454ED" w:rsidRDefault="00000000">
      <w:pPr>
        <w:pStyle w:val="Heading3"/>
      </w:pPr>
      <w:bookmarkStart w:id="21" w:name="potential-revenue-layers-activated-1"/>
      <w:bookmarkEnd w:id="20"/>
      <w:r>
        <w:t>Potential Revenue Layers Activated</w:t>
      </w:r>
    </w:p>
    <w:p w14:paraId="22BF29D1" w14:textId="77777777" w:rsidR="007454ED" w:rsidRDefault="00000000">
      <w:pPr>
        <w:pStyle w:val="FirstParagraph"/>
      </w:pPr>
      <w:r>
        <w:t>✓ Membership Revenue</w:t>
      </w:r>
    </w:p>
    <w:p w14:paraId="1AB404EE" w14:textId="77777777" w:rsidR="007454ED" w:rsidRDefault="00000000">
      <w:pPr>
        <w:pStyle w:val="BodyText"/>
      </w:pPr>
      <w:r>
        <w:t>✓ Custody Revenue</w:t>
      </w:r>
    </w:p>
    <w:p w14:paraId="072DD550" w14:textId="77777777" w:rsidR="007454ED" w:rsidRDefault="00000000">
      <w:pPr>
        <w:pStyle w:val="BodyText"/>
      </w:pPr>
      <w:r>
        <w:t>✓ Settlement Revenue</w:t>
      </w:r>
    </w:p>
    <w:p w14:paraId="045D100B" w14:textId="77777777" w:rsidR="007454ED" w:rsidRDefault="00000000">
      <w:pPr>
        <w:pStyle w:val="BodyText"/>
      </w:pPr>
      <w:r>
        <w:t>✓ Trust &amp; Tokenization Revenue</w:t>
      </w:r>
    </w:p>
    <w:p w14:paraId="013D2F65" w14:textId="77777777" w:rsidR="007454ED" w:rsidRDefault="00000000">
      <w:pPr>
        <w:pStyle w:val="BodyText"/>
      </w:pPr>
      <w:r>
        <w:t>✓ Insurance &amp; Risk Revenue</w:t>
      </w:r>
    </w:p>
    <w:p w14:paraId="234FEE6A" w14:textId="77777777" w:rsidR="007454ED" w:rsidRDefault="00000000">
      <w:pPr>
        <w:pStyle w:val="Heading3"/>
      </w:pPr>
      <w:bookmarkStart w:id="22" w:name="investor-takeaway-1"/>
      <w:bookmarkEnd w:id="21"/>
      <w:r>
        <w:t>Investor Takeaway</w:t>
      </w:r>
    </w:p>
    <w:p w14:paraId="4C7A1F3E" w14:textId="77777777" w:rsidR="007454ED" w:rsidRDefault="00000000">
      <w:pPr>
        <w:pStyle w:val="FirstParagraph"/>
      </w:pPr>
      <w:r>
        <w:t>Demonstrates how family offices may participate in international opportunities through a trusted institutional framework.</w:t>
      </w:r>
    </w:p>
    <w:p w14:paraId="040D5E7D" w14:textId="77777777" w:rsidR="007454ED" w:rsidRDefault="00000000">
      <w:r>
        <w:pict w14:anchorId="4E2057C4">
          <v:rect id="_x0000_i1029" style="width:0;height:1.5pt" o:hralign="center" o:hrstd="t" o:hr="t"/>
        </w:pict>
      </w:r>
    </w:p>
    <w:p w14:paraId="0FEE8BD3" w14:textId="77777777" w:rsidR="007454ED" w:rsidRDefault="00000000">
      <w:pPr>
        <w:pStyle w:val="Heading1"/>
      </w:pPr>
      <w:bookmarkStart w:id="23" w:name="scenario-c"/>
      <w:bookmarkEnd w:id="14"/>
      <w:bookmarkEnd w:id="15"/>
      <w:bookmarkEnd w:id="22"/>
      <w:r>
        <w:t>Scenario C</w:t>
      </w:r>
    </w:p>
    <w:p w14:paraId="4D76C9C9" w14:textId="77777777" w:rsidR="007454ED" w:rsidRDefault="00000000">
      <w:pPr>
        <w:pStyle w:val="Heading2"/>
      </w:pPr>
      <w:bookmarkStart w:id="24" w:name="greek-shipping-logistics-trade-corridor"/>
      <w:r>
        <w:t>Greek Shipping &amp; Logistics Trade Corridor</w:t>
      </w:r>
    </w:p>
    <w:p w14:paraId="6127FD55" w14:textId="77777777" w:rsidR="007454ED" w:rsidRDefault="00000000">
      <w:pPr>
        <w:pStyle w:val="Heading3"/>
      </w:pPr>
      <w:bookmarkStart w:id="25" w:name="objective-2"/>
      <w:r>
        <w:t>Objective</w:t>
      </w:r>
    </w:p>
    <w:p w14:paraId="562E937F" w14:textId="77777777" w:rsidR="007454ED" w:rsidRDefault="00000000">
      <w:pPr>
        <w:pStyle w:val="FirstParagraph"/>
      </w:pPr>
      <w:r>
        <w:t>Demonstrate how GSCX infrastructure may support complex logistics and trade networks.</w:t>
      </w:r>
    </w:p>
    <w:p w14:paraId="53DD655F" w14:textId="77777777" w:rsidR="007454ED" w:rsidRDefault="00000000">
      <w:pPr>
        <w:pStyle w:val="Heading3"/>
      </w:pPr>
      <w:bookmarkStart w:id="26" w:name="participants-2"/>
      <w:bookmarkEnd w:id="25"/>
      <w:r>
        <w:t>Participants</w:t>
      </w:r>
    </w:p>
    <w:p w14:paraId="6F86DF7A" w14:textId="77777777" w:rsidR="007454ED" w:rsidRDefault="00000000">
      <w:pPr>
        <w:pStyle w:val="Compact"/>
        <w:numPr>
          <w:ilvl w:val="0"/>
          <w:numId w:val="9"/>
        </w:numPr>
      </w:pPr>
      <w:r>
        <w:t>Shipping Company</w:t>
      </w:r>
    </w:p>
    <w:p w14:paraId="24382FBA" w14:textId="77777777" w:rsidR="007454ED" w:rsidRDefault="00000000">
      <w:pPr>
        <w:pStyle w:val="Compact"/>
        <w:numPr>
          <w:ilvl w:val="0"/>
          <w:numId w:val="9"/>
        </w:numPr>
      </w:pPr>
      <w:r>
        <w:t>Commodity Producer</w:t>
      </w:r>
    </w:p>
    <w:p w14:paraId="1A8BB556" w14:textId="77777777" w:rsidR="007454ED" w:rsidRDefault="00000000">
      <w:pPr>
        <w:pStyle w:val="Compact"/>
        <w:numPr>
          <w:ilvl w:val="0"/>
          <w:numId w:val="9"/>
        </w:numPr>
      </w:pPr>
      <w:r>
        <w:t>Commodity Buyer</w:t>
      </w:r>
    </w:p>
    <w:p w14:paraId="7CB851A5" w14:textId="77777777" w:rsidR="007454ED" w:rsidRDefault="00000000">
      <w:pPr>
        <w:pStyle w:val="Compact"/>
        <w:numPr>
          <w:ilvl w:val="0"/>
          <w:numId w:val="9"/>
        </w:numPr>
      </w:pPr>
      <w:r>
        <w:t>Logistics Provider</w:t>
      </w:r>
    </w:p>
    <w:p w14:paraId="462129FE" w14:textId="77777777" w:rsidR="007454ED" w:rsidRDefault="00000000">
      <w:pPr>
        <w:pStyle w:val="Compact"/>
        <w:numPr>
          <w:ilvl w:val="0"/>
          <w:numId w:val="9"/>
        </w:numPr>
      </w:pPr>
      <w:r>
        <w:t>Insurance Provider</w:t>
      </w:r>
    </w:p>
    <w:p w14:paraId="0154C347" w14:textId="77777777" w:rsidR="007454ED" w:rsidRDefault="00000000">
      <w:pPr>
        <w:pStyle w:val="Compact"/>
        <w:numPr>
          <w:ilvl w:val="0"/>
          <w:numId w:val="9"/>
        </w:numPr>
      </w:pPr>
      <w:r>
        <w:t>Liquidity Provider</w:t>
      </w:r>
    </w:p>
    <w:p w14:paraId="2BD431A4" w14:textId="77777777" w:rsidR="007454ED" w:rsidRDefault="00000000">
      <w:pPr>
        <w:pStyle w:val="Heading3"/>
      </w:pPr>
      <w:bookmarkStart w:id="27" w:name="illustrative-transaction-value-2"/>
      <w:bookmarkEnd w:id="26"/>
      <w:r>
        <w:lastRenderedPageBreak/>
        <w:t>Illustrative Transaction Value</w:t>
      </w:r>
    </w:p>
    <w:p w14:paraId="068138EC" w14:textId="77777777" w:rsidR="007454ED" w:rsidRDefault="00000000">
      <w:pPr>
        <w:pStyle w:val="FirstParagraph"/>
      </w:pPr>
      <w:r>
        <w:t>£10,000,000</w:t>
      </w:r>
    </w:p>
    <w:p w14:paraId="26717AA2" w14:textId="77777777" w:rsidR="007454ED" w:rsidRDefault="00000000">
      <w:pPr>
        <w:pStyle w:val="Heading3"/>
      </w:pPr>
      <w:bookmarkStart w:id="28" w:name="current-market-challenge-2"/>
      <w:bookmarkEnd w:id="27"/>
      <w:r>
        <w:t>Current Market Challenge</w:t>
      </w:r>
    </w:p>
    <w:p w14:paraId="6A7A6038" w14:textId="77777777" w:rsidR="007454ED" w:rsidRDefault="00000000">
      <w:pPr>
        <w:pStyle w:val="FirstParagraph"/>
      </w:pPr>
      <w:r>
        <w:t>Large-scale international shipments often require:</w:t>
      </w:r>
    </w:p>
    <w:p w14:paraId="73CA31D9" w14:textId="77777777" w:rsidR="007454ED" w:rsidRDefault="00000000">
      <w:pPr>
        <w:pStyle w:val="Compact"/>
        <w:numPr>
          <w:ilvl w:val="0"/>
          <w:numId w:val="10"/>
        </w:numPr>
      </w:pPr>
      <w:r>
        <w:t>Multiple intermediaries</w:t>
      </w:r>
    </w:p>
    <w:p w14:paraId="2EE750C3" w14:textId="77777777" w:rsidR="007454ED" w:rsidRDefault="00000000">
      <w:pPr>
        <w:pStyle w:val="Compact"/>
        <w:numPr>
          <w:ilvl w:val="0"/>
          <w:numId w:val="10"/>
        </w:numPr>
      </w:pPr>
      <w:r>
        <w:t>Fragmented documentation</w:t>
      </w:r>
    </w:p>
    <w:p w14:paraId="7B121749" w14:textId="77777777" w:rsidR="007454ED" w:rsidRDefault="00000000">
      <w:pPr>
        <w:pStyle w:val="Compact"/>
        <w:numPr>
          <w:ilvl w:val="0"/>
          <w:numId w:val="10"/>
        </w:numPr>
      </w:pPr>
      <w:r>
        <w:t>Separate insurance structures</w:t>
      </w:r>
    </w:p>
    <w:p w14:paraId="0014528B" w14:textId="77777777" w:rsidR="007454ED" w:rsidRDefault="00000000">
      <w:pPr>
        <w:pStyle w:val="Compact"/>
        <w:numPr>
          <w:ilvl w:val="0"/>
          <w:numId w:val="10"/>
        </w:numPr>
      </w:pPr>
      <w:r>
        <w:t>Manual verification processes</w:t>
      </w:r>
    </w:p>
    <w:p w14:paraId="26AF5E43" w14:textId="77777777" w:rsidR="007454ED" w:rsidRDefault="00000000">
      <w:pPr>
        <w:pStyle w:val="Compact"/>
        <w:numPr>
          <w:ilvl w:val="0"/>
          <w:numId w:val="10"/>
        </w:numPr>
      </w:pPr>
      <w:r>
        <w:t>Delayed settlement coordination</w:t>
      </w:r>
    </w:p>
    <w:p w14:paraId="30BFF9EC" w14:textId="77777777" w:rsidR="007454ED" w:rsidRDefault="00000000">
      <w:pPr>
        <w:pStyle w:val="Heading3"/>
      </w:pPr>
      <w:bookmarkStart w:id="29" w:name="illustrative-gscx-services-2"/>
      <w:bookmarkEnd w:id="28"/>
      <w:r>
        <w:t>Illustrative GSCX Services</w:t>
      </w:r>
    </w:p>
    <w:p w14:paraId="4FE3A215" w14:textId="77777777" w:rsidR="007454ED" w:rsidRDefault="00000000">
      <w:pPr>
        <w:pStyle w:val="Compact"/>
        <w:numPr>
          <w:ilvl w:val="0"/>
          <w:numId w:val="11"/>
        </w:numPr>
      </w:pPr>
      <w:r>
        <w:t>Trade Registration</w:t>
      </w:r>
    </w:p>
    <w:p w14:paraId="6ACDE72D" w14:textId="77777777" w:rsidR="007454ED" w:rsidRDefault="00000000">
      <w:pPr>
        <w:pStyle w:val="Compact"/>
        <w:numPr>
          <w:ilvl w:val="0"/>
          <w:numId w:val="11"/>
        </w:numPr>
      </w:pPr>
      <w:r>
        <w:t>Logistics Verification</w:t>
      </w:r>
    </w:p>
    <w:p w14:paraId="782AAA99" w14:textId="77777777" w:rsidR="007454ED" w:rsidRDefault="00000000">
      <w:pPr>
        <w:pStyle w:val="Compact"/>
        <w:numPr>
          <w:ilvl w:val="0"/>
          <w:numId w:val="11"/>
        </w:numPr>
      </w:pPr>
      <w:r>
        <w:t>Settlement Coordination</w:t>
      </w:r>
    </w:p>
    <w:p w14:paraId="17DF9629" w14:textId="77777777" w:rsidR="007454ED" w:rsidRDefault="00000000">
      <w:pPr>
        <w:pStyle w:val="Compact"/>
        <w:numPr>
          <w:ilvl w:val="0"/>
          <w:numId w:val="11"/>
        </w:numPr>
      </w:pPr>
      <w:r>
        <w:t>Custody Services</w:t>
      </w:r>
    </w:p>
    <w:p w14:paraId="77906FFE" w14:textId="77777777" w:rsidR="007454ED" w:rsidRDefault="00000000">
      <w:pPr>
        <w:pStyle w:val="Compact"/>
        <w:numPr>
          <w:ilvl w:val="0"/>
          <w:numId w:val="11"/>
        </w:numPr>
      </w:pPr>
      <w:r>
        <w:t>Insurance Integration</w:t>
      </w:r>
    </w:p>
    <w:p w14:paraId="7B255FF3" w14:textId="77777777" w:rsidR="007454ED" w:rsidRDefault="00000000">
      <w:pPr>
        <w:pStyle w:val="Compact"/>
        <w:numPr>
          <w:ilvl w:val="0"/>
          <w:numId w:val="11"/>
        </w:numPr>
      </w:pPr>
      <w:r>
        <w:t>Compliance Monitoring</w:t>
      </w:r>
    </w:p>
    <w:p w14:paraId="63DEF712" w14:textId="77777777" w:rsidR="007454ED" w:rsidRDefault="00000000">
      <w:pPr>
        <w:pStyle w:val="Heading3"/>
      </w:pPr>
      <w:bookmarkStart w:id="30" w:name="potential-revenue-layers-activated-2"/>
      <w:bookmarkEnd w:id="29"/>
      <w:r>
        <w:t>Potential Revenue Layers Activated</w:t>
      </w:r>
    </w:p>
    <w:p w14:paraId="7BB948E0" w14:textId="77777777" w:rsidR="007454ED" w:rsidRDefault="00000000">
      <w:pPr>
        <w:pStyle w:val="FirstParagraph"/>
      </w:pPr>
      <w:r>
        <w:t>✓ Membership Revenue</w:t>
      </w:r>
    </w:p>
    <w:p w14:paraId="0E2DA354" w14:textId="77777777" w:rsidR="007454ED" w:rsidRDefault="00000000">
      <w:pPr>
        <w:pStyle w:val="BodyText"/>
      </w:pPr>
      <w:r>
        <w:t>✓ Transaction Processing Revenue</w:t>
      </w:r>
    </w:p>
    <w:p w14:paraId="07DF7B00" w14:textId="77777777" w:rsidR="007454ED" w:rsidRDefault="00000000">
      <w:pPr>
        <w:pStyle w:val="BodyText"/>
      </w:pPr>
      <w:r>
        <w:t>✓ Settlement Revenue</w:t>
      </w:r>
    </w:p>
    <w:p w14:paraId="237E6C4B" w14:textId="77777777" w:rsidR="007454ED" w:rsidRDefault="00000000">
      <w:pPr>
        <w:pStyle w:val="BodyText"/>
      </w:pPr>
      <w:r>
        <w:t>✓ Custody Revenue</w:t>
      </w:r>
    </w:p>
    <w:p w14:paraId="440D430D" w14:textId="77777777" w:rsidR="007454ED" w:rsidRDefault="00000000">
      <w:pPr>
        <w:pStyle w:val="BodyText"/>
      </w:pPr>
      <w:r>
        <w:t>✓ Insurance &amp; Risk Revenue</w:t>
      </w:r>
    </w:p>
    <w:p w14:paraId="4BD22057" w14:textId="77777777" w:rsidR="007454ED" w:rsidRDefault="00000000">
      <w:pPr>
        <w:pStyle w:val="BodyText"/>
      </w:pPr>
      <w:r>
        <w:t>✓ Trade Finance Facilitation Revenue</w:t>
      </w:r>
    </w:p>
    <w:p w14:paraId="572F828B" w14:textId="77777777" w:rsidR="007454ED" w:rsidRDefault="00000000">
      <w:pPr>
        <w:pStyle w:val="Heading3"/>
      </w:pPr>
      <w:bookmarkStart w:id="31" w:name="investor-takeaway-2"/>
      <w:bookmarkEnd w:id="30"/>
      <w:r>
        <w:t>Investor Takeaway</w:t>
      </w:r>
    </w:p>
    <w:p w14:paraId="54AFFFA3" w14:textId="77777777" w:rsidR="007454ED" w:rsidRDefault="00000000">
      <w:pPr>
        <w:pStyle w:val="FirstParagraph"/>
      </w:pPr>
      <w:r>
        <w:t>Demonstrates how GSCX may support complex international trade corridors involving multiple institutional participants.</w:t>
      </w:r>
    </w:p>
    <w:p w14:paraId="7EEEF4B1" w14:textId="77777777" w:rsidR="007454ED" w:rsidRDefault="00000000">
      <w:r>
        <w:pict w14:anchorId="49D3E4FA">
          <v:rect id="_x0000_i1030" style="width:0;height:1.5pt" o:hralign="center" o:hrstd="t" o:hr="t"/>
        </w:pict>
      </w:r>
    </w:p>
    <w:p w14:paraId="302E1A65" w14:textId="77777777" w:rsidR="007454ED" w:rsidRDefault="00000000">
      <w:pPr>
        <w:pStyle w:val="Heading1"/>
      </w:pPr>
      <w:bookmarkStart w:id="32" w:name="scenario-d"/>
      <w:bookmarkEnd w:id="23"/>
      <w:bookmarkEnd w:id="24"/>
      <w:bookmarkEnd w:id="31"/>
      <w:r>
        <w:lastRenderedPageBreak/>
        <w:t>Scenario D</w:t>
      </w:r>
    </w:p>
    <w:p w14:paraId="73B76456" w14:textId="77777777" w:rsidR="007454ED" w:rsidRDefault="00000000">
      <w:pPr>
        <w:pStyle w:val="Heading2"/>
      </w:pPr>
      <w:bookmarkStart w:id="33" w:name="regional-bank-trade-finance-facilitation"/>
      <w:r>
        <w:t>Regional Bank Trade Finance Facilitation</w:t>
      </w:r>
    </w:p>
    <w:p w14:paraId="5D913AAA" w14:textId="77777777" w:rsidR="007454ED" w:rsidRDefault="00000000">
      <w:pPr>
        <w:pStyle w:val="Heading3"/>
      </w:pPr>
      <w:bookmarkStart w:id="34" w:name="objective-3"/>
      <w:r>
        <w:t>Objective</w:t>
      </w:r>
    </w:p>
    <w:p w14:paraId="27847CAD" w14:textId="77777777" w:rsidR="007454ED" w:rsidRDefault="00000000">
      <w:pPr>
        <w:pStyle w:val="FirstParagraph"/>
      </w:pPr>
      <w:r>
        <w:t>Demonstrate how financial institutions may participate within the GSCX ecosystem.</w:t>
      </w:r>
    </w:p>
    <w:p w14:paraId="20AFC86C" w14:textId="77777777" w:rsidR="007454ED" w:rsidRDefault="00000000">
      <w:pPr>
        <w:pStyle w:val="Heading3"/>
      </w:pPr>
      <w:bookmarkStart w:id="35" w:name="participants-3"/>
      <w:bookmarkEnd w:id="34"/>
      <w:r>
        <w:t>Participants</w:t>
      </w:r>
    </w:p>
    <w:p w14:paraId="12A8AD54" w14:textId="77777777" w:rsidR="007454ED" w:rsidRDefault="00000000">
      <w:pPr>
        <w:pStyle w:val="Compact"/>
        <w:numPr>
          <w:ilvl w:val="0"/>
          <w:numId w:val="12"/>
        </w:numPr>
      </w:pPr>
      <w:r>
        <w:t>Regional Commercial Bank</w:t>
      </w:r>
    </w:p>
    <w:p w14:paraId="6C0E3E0A" w14:textId="77777777" w:rsidR="007454ED" w:rsidRDefault="00000000">
      <w:pPr>
        <w:pStyle w:val="Compact"/>
        <w:numPr>
          <w:ilvl w:val="0"/>
          <w:numId w:val="12"/>
        </w:numPr>
      </w:pPr>
      <w:r>
        <w:t>Importer</w:t>
      </w:r>
    </w:p>
    <w:p w14:paraId="796EED41" w14:textId="77777777" w:rsidR="007454ED" w:rsidRDefault="00000000">
      <w:pPr>
        <w:pStyle w:val="Compact"/>
        <w:numPr>
          <w:ilvl w:val="0"/>
          <w:numId w:val="12"/>
        </w:numPr>
      </w:pPr>
      <w:r>
        <w:t>Exporter</w:t>
      </w:r>
    </w:p>
    <w:p w14:paraId="2F90DEE9" w14:textId="77777777" w:rsidR="007454ED" w:rsidRDefault="00000000">
      <w:pPr>
        <w:pStyle w:val="Compact"/>
        <w:numPr>
          <w:ilvl w:val="0"/>
          <w:numId w:val="12"/>
        </w:numPr>
      </w:pPr>
      <w:r>
        <w:t>Liquidity Provider</w:t>
      </w:r>
    </w:p>
    <w:p w14:paraId="63C453B4" w14:textId="77777777" w:rsidR="007454ED" w:rsidRDefault="00000000">
      <w:pPr>
        <w:pStyle w:val="Compact"/>
        <w:numPr>
          <w:ilvl w:val="0"/>
          <w:numId w:val="12"/>
        </w:numPr>
      </w:pPr>
      <w:r>
        <w:t>Insurance Provider</w:t>
      </w:r>
    </w:p>
    <w:p w14:paraId="7DCC1008" w14:textId="77777777" w:rsidR="007454ED" w:rsidRDefault="00000000">
      <w:pPr>
        <w:pStyle w:val="Heading3"/>
      </w:pPr>
      <w:bookmarkStart w:id="36" w:name="illustrative-transaction-value-3"/>
      <w:bookmarkEnd w:id="35"/>
      <w:r>
        <w:t>Illustrative Transaction Value</w:t>
      </w:r>
    </w:p>
    <w:p w14:paraId="188FF579" w14:textId="77777777" w:rsidR="007454ED" w:rsidRDefault="00000000">
      <w:pPr>
        <w:pStyle w:val="FirstParagraph"/>
      </w:pPr>
      <w:r>
        <w:t>£2,500,000</w:t>
      </w:r>
    </w:p>
    <w:p w14:paraId="65C8F274" w14:textId="77777777" w:rsidR="007454ED" w:rsidRDefault="00000000">
      <w:pPr>
        <w:pStyle w:val="Heading3"/>
      </w:pPr>
      <w:bookmarkStart w:id="37" w:name="current-market-challenge-3"/>
      <w:bookmarkEnd w:id="36"/>
      <w:r>
        <w:t>Current Market Challenge</w:t>
      </w:r>
    </w:p>
    <w:p w14:paraId="690A41A0" w14:textId="77777777" w:rsidR="007454ED" w:rsidRDefault="00000000">
      <w:pPr>
        <w:pStyle w:val="FirstParagraph"/>
      </w:pPr>
      <w:r>
        <w:t>Many businesses face:</w:t>
      </w:r>
    </w:p>
    <w:p w14:paraId="49849022" w14:textId="77777777" w:rsidR="007454ED" w:rsidRDefault="00000000">
      <w:pPr>
        <w:pStyle w:val="Compact"/>
        <w:numPr>
          <w:ilvl w:val="0"/>
          <w:numId w:val="13"/>
        </w:numPr>
      </w:pPr>
      <w:r>
        <w:t>Limited access to trade finance</w:t>
      </w:r>
    </w:p>
    <w:p w14:paraId="7D9A4F99" w14:textId="77777777" w:rsidR="007454ED" w:rsidRDefault="00000000">
      <w:pPr>
        <w:pStyle w:val="Compact"/>
        <w:numPr>
          <w:ilvl w:val="0"/>
          <w:numId w:val="13"/>
        </w:numPr>
      </w:pPr>
      <w:r>
        <w:t>Slow underwriting processes</w:t>
      </w:r>
    </w:p>
    <w:p w14:paraId="23ECAC53" w14:textId="77777777" w:rsidR="007454ED" w:rsidRDefault="00000000">
      <w:pPr>
        <w:pStyle w:val="Compact"/>
        <w:numPr>
          <w:ilvl w:val="0"/>
          <w:numId w:val="13"/>
        </w:numPr>
      </w:pPr>
      <w:r>
        <w:t>Fragmented settlement infrastructure</w:t>
      </w:r>
    </w:p>
    <w:p w14:paraId="499BBCDA" w14:textId="77777777" w:rsidR="007454ED" w:rsidRDefault="00000000">
      <w:pPr>
        <w:pStyle w:val="Compact"/>
        <w:numPr>
          <w:ilvl w:val="0"/>
          <w:numId w:val="13"/>
        </w:numPr>
      </w:pPr>
      <w:r>
        <w:t>Documentation inefficiencies</w:t>
      </w:r>
    </w:p>
    <w:p w14:paraId="76A8C2B8" w14:textId="77777777" w:rsidR="007454ED" w:rsidRDefault="00000000">
      <w:pPr>
        <w:pStyle w:val="Heading3"/>
      </w:pPr>
      <w:bookmarkStart w:id="38" w:name="illustrative-gscx-services-3"/>
      <w:bookmarkEnd w:id="37"/>
      <w:r>
        <w:t>Illustrative GSCX Services</w:t>
      </w:r>
    </w:p>
    <w:p w14:paraId="434310A5" w14:textId="77777777" w:rsidR="007454ED" w:rsidRDefault="00000000">
      <w:pPr>
        <w:pStyle w:val="Compact"/>
        <w:numPr>
          <w:ilvl w:val="0"/>
          <w:numId w:val="14"/>
        </w:numPr>
      </w:pPr>
      <w:r>
        <w:t>Transaction Verification</w:t>
      </w:r>
    </w:p>
    <w:p w14:paraId="7EE250E5" w14:textId="77777777" w:rsidR="007454ED" w:rsidRDefault="00000000">
      <w:pPr>
        <w:pStyle w:val="Compact"/>
        <w:numPr>
          <w:ilvl w:val="0"/>
          <w:numId w:val="14"/>
        </w:numPr>
      </w:pPr>
      <w:r>
        <w:t>Settlement Infrastructure</w:t>
      </w:r>
    </w:p>
    <w:p w14:paraId="4B4661EB" w14:textId="77777777" w:rsidR="007454ED" w:rsidRDefault="00000000">
      <w:pPr>
        <w:pStyle w:val="Compact"/>
        <w:numPr>
          <w:ilvl w:val="0"/>
          <w:numId w:val="14"/>
        </w:numPr>
      </w:pPr>
      <w:r>
        <w:t>Custody Services</w:t>
      </w:r>
    </w:p>
    <w:p w14:paraId="6627509B" w14:textId="77777777" w:rsidR="007454ED" w:rsidRDefault="00000000">
      <w:pPr>
        <w:pStyle w:val="Compact"/>
        <w:numPr>
          <w:ilvl w:val="0"/>
          <w:numId w:val="14"/>
        </w:numPr>
      </w:pPr>
      <w:r>
        <w:t>Risk Management Support</w:t>
      </w:r>
    </w:p>
    <w:p w14:paraId="0D4C3B27" w14:textId="77777777" w:rsidR="007454ED" w:rsidRDefault="00000000">
      <w:pPr>
        <w:pStyle w:val="Compact"/>
        <w:numPr>
          <w:ilvl w:val="0"/>
          <w:numId w:val="14"/>
        </w:numPr>
      </w:pPr>
      <w:r>
        <w:t>Capital Coordination</w:t>
      </w:r>
    </w:p>
    <w:p w14:paraId="40860FC6" w14:textId="77777777" w:rsidR="007454ED" w:rsidRDefault="00000000">
      <w:pPr>
        <w:pStyle w:val="Heading3"/>
      </w:pPr>
      <w:bookmarkStart w:id="39" w:name="potential-revenue-layers-activated-3"/>
      <w:bookmarkEnd w:id="38"/>
      <w:r>
        <w:t>Potential Revenue Layers Activated</w:t>
      </w:r>
    </w:p>
    <w:p w14:paraId="7217F924" w14:textId="77777777" w:rsidR="007454ED" w:rsidRDefault="00000000">
      <w:pPr>
        <w:pStyle w:val="FirstParagraph"/>
      </w:pPr>
      <w:r>
        <w:t>✓ Membership Revenue</w:t>
      </w:r>
    </w:p>
    <w:p w14:paraId="1CBDCE98" w14:textId="77777777" w:rsidR="007454ED" w:rsidRDefault="00000000">
      <w:pPr>
        <w:pStyle w:val="BodyText"/>
      </w:pPr>
      <w:r>
        <w:t>✓ Settlement Revenue</w:t>
      </w:r>
    </w:p>
    <w:p w14:paraId="38AB6214" w14:textId="77777777" w:rsidR="007454ED" w:rsidRDefault="00000000">
      <w:pPr>
        <w:pStyle w:val="BodyText"/>
      </w:pPr>
      <w:r>
        <w:t>✓ Custody Revenue</w:t>
      </w:r>
    </w:p>
    <w:p w14:paraId="21DE7056" w14:textId="77777777" w:rsidR="007454ED" w:rsidRDefault="00000000">
      <w:pPr>
        <w:pStyle w:val="BodyText"/>
      </w:pPr>
      <w:r>
        <w:t>✓ Trade Finance Facilitation Revenue</w:t>
      </w:r>
    </w:p>
    <w:p w14:paraId="6D884943" w14:textId="77777777" w:rsidR="007454ED" w:rsidRDefault="00000000">
      <w:pPr>
        <w:pStyle w:val="Heading3"/>
      </w:pPr>
      <w:bookmarkStart w:id="40" w:name="investor-takeaway-3"/>
      <w:bookmarkEnd w:id="39"/>
      <w:r>
        <w:lastRenderedPageBreak/>
        <w:t>Investor Takeaway</w:t>
      </w:r>
    </w:p>
    <w:p w14:paraId="206F8E1F" w14:textId="77777777" w:rsidR="007454ED" w:rsidRDefault="00000000">
      <w:pPr>
        <w:pStyle w:val="FirstParagraph"/>
      </w:pPr>
      <w:r>
        <w:t>Demonstrates how GSCX may support financial institutions seeking to facilitate international trade without acting as a traditional lender.</w:t>
      </w:r>
    </w:p>
    <w:p w14:paraId="72ABFB9F" w14:textId="77777777" w:rsidR="007454ED" w:rsidRDefault="00000000">
      <w:r>
        <w:pict w14:anchorId="61041E70">
          <v:rect id="_x0000_i1031" style="width:0;height:1.5pt" o:hralign="center" o:hrstd="t" o:hr="t"/>
        </w:pict>
      </w:r>
    </w:p>
    <w:p w14:paraId="4AE10416" w14:textId="77777777" w:rsidR="007454ED" w:rsidRDefault="00000000">
      <w:pPr>
        <w:pStyle w:val="Heading1"/>
      </w:pPr>
      <w:bookmarkStart w:id="41" w:name="what-these-examples-demonstrate"/>
      <w:bookmarkEnd w:id="32"/>
      <w:bookmarkEnd w:id="33"/>
      <w:bookmarkEnd w:id="40"/>
      <w:r>
        <w:t>What These Examples Demonstrate</w:t>
      </w:r>
    </w:p>
    <w:p w14:paraId="3566AD9D" w14:textId="77777777" w:rsidR="007454ED" w:rsidRDefault="00000000">
      <w:pPr>
        <w:pStyle w:val="FirstParagraph"/>
      </w:pPr>
      <w:r>
        <w:t>Although the transaction types differ, the underlying infrastructure remains consistent.</w:t>
      </w:r>
    </w:p>
    <w:p w14:paraId="3F1F2FE9" w14:textId="77777777" w:rsidR="007454ED" w:rsidRDefault="00000000">
      <w:pPr>
        <w:pStyle w:val="BodyText"/>
      </w:pPr>
      <w:r>
        <w:t>Across each example, GSCX serves as the coordinating framework for:</w:t>
      </w:r>
    </w:p>
    <w:p w14:paraId="2A7DC940" w14:textId="77777777" w:rsidR="007454ED" w:rsidRDefault="00000000">
      <w:pPr>
        <w:pStyle w:val="Compact"/>
        <w:numPr>
          <w:ilvl w:val="0"/>
          <w:numId w:val="15"/>
        </w:numPr>
      </w:pPr>
      <w:r>
        <w:t>Settlement</w:t>
      </w:r>
    </w:p>
    <w:p w14:paraId="369E5A4B" w14:textId="77777777" w:rsidR="007454ED" w:rsidRDefault="00000000">
      <w:pPr>
        <w:pStyle w:val="Compact"/>
        <w:numPr>
          <w:ilvl w:val="0"/>
          <w:numId w:val="15"/>
        </w:numPr>
      </w:pPr>
      <w:r>
        <w:t>Custody</w:t>
      </w:r>
    </w:p>
    <w:p w14:paraId="73FAB201" w14:textId="77777777" w:rsidR="007454ED" w:rsidRDefault="00000000">
      <w:pPr>
        <w:pStyle w:val="Compact"/>
        <w:numPr>
          <w:ilvl w:val="0"/>
          <w:numId w:val="15"/>
        </w:numPr>
      </w:pPr>
      <w:r>
        <w:t>Trust Services</w:t>
      </w:r>
    </w:p>
    <w:p w14:paraId="738BCA7E" w14:textId="77777777" w:rsidR="007454ED" w:rsidRDefault="00000000">
      <w:pPr>
        <w:pStyle w:val="Compact"/>
        <w:numPr>
          <w:ilvl w:val="0"/>
          <w:numId w:val="15"/>
        </w:numPr>
      </w:pPr>
      <w:r>
        <w:t>Risk Management</w:t>
      </w:r>
    </w:p>
    <w:p w14:paraId="54E446F9" w14:textId="77777777" w:rsidR="007454ED" w:rsidRDefault="00000000">
      <w:pPr>
        <w:pStyle w:val="Compact"/>
        <w:numPr>
          <w:ilvl w:val="0"/>
          <w:numId w:val="15"/>
        </w:numPr>
      </w:pPr>
      <w:r>
        <w:t>Compliance</w:t>
      </w:r>
    </w:p>
    <w:p w14:paraId="54839A65" w14:textId="77777777" w:rsidR="007454ED" w:rsidRDefault="00000000">
      <w:pPr>
        <w:pStyle w:val="Compact"/>
        <w:numPr>
          <w:ilvl w:val="0"/>
          <w:numId w:val="15"/>
        </w:numPr>
      </w:pPr>
      <w:r>
        <w:t>Liquidity Coordination</w:t>
      </w:r>
    </w:p>
    <w:p w14:paraId="57C6E9A9" w14:textId="77777777" w:rsidR="007454ED" w:rsidRDefault="00000000">
      <w:pPr>
        <w:pStyle w:val="Compact"/>
        <w:numPr>
          <w:ilvl w:val="0"/>
          <w:numId w:val="15"/>
        </w:numPr>
      </w:pPr>
      <w:r>
        <w:t>Participant Verification</w:t>
      </w:r>
    </w:p>
    <w:p w14:paraId="04FED17D" w14:textId="77777777" w:rsidR="007454ED" w:rsidRDefault="00000000">
      <w:pPr>
        <w:pStyle w:val="FirstParagraph"/>
      </w:pPr>
      <w:r>
        <w:t>The objective is to create a trusted institutional ecosystem capable of supporting multiple transaction categories through a common infrastructure layer.</w:t>
      </w:r>
    </w:p>
    <w:p w14:paraId="3EB75AC3" w14:textId="77777777" w:rsidR="007454ED" w:rsidRDefault="00000000">
      <w:r>
        <w:pict w14:anchorId="7610A3CC">
          <v:rect id="_x0000_i1032" style="width:0;height:1.5pt" o:hralign="center" o:hrstd="t" o:hr="t"/>
        </w:pict>
      </w:r>
    </w:p>
    <w:p w14:paraId="1B21C714" w14:textId="77777777" w:rsidR="007454ED" w:rsidRDefault="00000000">
      <w:pPr>
        <w:pStyle w:val="Heading1"/>
      </w:pPr>
      <w:bookmarkStart w:id="42" w:name="strategic-significance"/>
      <w:bookmarkEnd w:id="41"/>
      <w:r>
        <w:t>Strategic Significance</w:t>
      </w:r>
    </w:p>
    <w:p w14:paraId="79DF14BE" w14:textId="77777777" w:rsidR="007454ED" w:rsidRDefault="00000000">
      <w:pPr>
        <w:pStyle w:val="FirstParagraph"/>
      </w:pPr>
      <w:r>
        <w:t>The long-term value of GSCX is not dependent upon a single industry, geography, or transaction type.</w:t>
      </w:r>
    </w:p>
    <w:p w14:paraId="7E2BABFD" w14:textId="77777777" w:rsidR="007454ED" w:rsidRDefault="00000000">
      <w:pPr>
        <w:pStyle w:val="BodyText"/>
      </w:pPr>
      <w:r>
        <w:t>The same infrastructure framework may support:</w:t>
      </w:r>
    </w:p>
    <w:p w14:paraId="6C72098F" w14:textId="77777777" w:rsidR="007454ED" w:rsidRDefault="00000000">
      <w:pPr>
        <w:pStyle w:val="Compact"/>
        <w:numPr>
          <w:ilvl w:val="0"/>
          <w:numId w:val="16"/>
        </w:numPr>
      </w:pPr>
      <w:r>
        <w:t>International Trade</w:t>
      </w:r>
    </w:p>
    <w:p w14:paraId="6DE5AE81" w14:textId="77777777" w:rsidR="007454ED" w:rsidRDefault="00000000">
      <w:pPr>
        <w:pStyle w:val="Compact"/>
        <w:numPr>
          <w:ilvl w:val="0"/>
          <w:numId w:val="16"/>
        </w:numPr>
      </w:pPr>
      <w:r>
        <w:t>Family Office Investments</w:t>
      </w:r>
    </w:p>
    <w:p w14:paraId="1F6478EF" w14:textId="77777777" w:rsidR="007454ED" w:rsidRDefault="00000000">
      <w:pPr>
        <w:pStyle w:val="Compact"/>
        <w:numPr>
          <w:ilvl w:val="0"/>
          <w:numId w:val="16"/>
        </w:numPr>
      </w:pPr>
      <w:r>
        <w:t>Infrastructure Development</w:t>
      </w:r>
    </w:p>
    <w:p w14:paraId="6C803C38" w14:textId="77777777" w:rsidR="007454ED" w:rsidRDefault="00000000">
      <w:pPr>
        <w:pStyle w:val="Compact"/>
        <w:numPr>
          <w:ilvl w:val="0"/>
          <w:numId w:val="16"/>
        </w:numPr>
      </w:pPr>
      <w:r>
        <w:t>Logistics Networks</w:t>
      </w:r>
    </w:p>
    <w:p w14:paraId="0E93108E" w14:textId="77777777" w:rsidR="007454ED" w:rsidRDefault="00000000">
      <w:pPr>
        <w:pStyle w:val="Compact"/>
        <w:numPr>
          <w:ilvl w:val="0"/>
          <w:numId w:val="16"/>
        </w:numPr>
      </w:pPr>
      <w:r>
        <w:t>Banking Relationships</w:t>
      </w:r>
    </w:p>
    <w:p w14:paraId="3AEED3C1" w14:textId="77777777" w:rsidR="007454ED" w:rsidRDefault="00000000">
      <w:pPr>
        <w:pStyle w:val="Compact"/>
        <w:numPr>
          <w:ilvl w:val="0"/>
          <w:numId w:val="16"/>
        </w:numPr>
      </w:pPr>
      <w:r>
        <w:t>Trade Finance Activity</w:t>
      </w:r>
    </w:p>
    <w:p w14:paraId="773E677B" w14:textId="77777777" w:rsidR="007454ED" w:rsidRDefault="00000000">
      <w:pPr>
        <w:pStyle w:val="Compact"/>
        <w:numPr>
          <w:ilvl w:val="0"/>
          <w:numId w:val="16"/>
        </w:numPr>
      </w:pPr>
      <w:r>
        <w:t>Capital Formation</w:t>
      </w:r>
    </w:p>
    <w:p w14:paraId="3014C7C1" w14:textId="77777777" w:rsidR="007454ED" w:rsidRDefault="00000000">
      <w:pPr>
        <w:pStyle w:val="FirstParagraph"/>
      </w:pPr>
      <w:r>
        <w:t>As participation grows, transaction activity grows.</w:t>
      </w:r>
    </w:p>
    <w:p w14:paraId="28400A83" w14:textId="77777777" w:rsidR="007454ED" w:rsidRDefault="00000000">
      <w:pPr>
        <w:pStyle w:val="BodyText"/>
      </w:pPr>
      <w:r>
        <w:t>As transaction activity grows, multiple revenue layers scale simultaneously.</w:t>
      </w:r>
    </w:p>
    <w:p w14:paraId="3BDFFD6F" w14:textId="77777777" w:rsidR="007454ED" w:rsidRDefault="00000000">
      <w:pPr>
        <w:pStyle w:val="BodyText"/>
      </w:pPr>
      <w:r>
        <w:lastRenderedPageBreak/>
        <w:t>This creates a diversified institutional infrastructure platform designed to support global commerce across multiple jurisdictions and participant types.</w:t>
      </w:r>
    </w:p>
    <w:p w14:paraId="1B0A6DDC" w14:textId="77777777" w:rsidR="007454ED" w:rsidRDefault="00000000">
      <w:r>
        <w:pict w14:anchorId="7768C5A3">
          <v:rect id="_x0000_i1033" style="width:0;height:1.5pt" o:hralign="center" o:hrstd="t" o:hr="t"/>
        </w:pict>
      </w:r>
    </w:p>
    <w:p w14:paraId="7A253EED" w14:textId="77777777" w:rsidR="007454ED" w:rsidRDefault="00000000">
      <w:pPr>
        <w:pStyle w:val="Heading1"/>
      </w:pPr>
      <w:bookmarkStart w:id="43" w:name="investor-takeaway-4"/>
      <w:bookmarkEnd w:id="42"/>
      <w:r>
        <w:t>Investor Takeaway</w:t>
      </w:r>
    </w:p>
    <w:p w14:paraId="01EBF82C" w14:textId="77777777" w:rsidR="007454ED" w:rsidRDefault="00000000">
      <w:pPr>
        <w:pStyle w:val="FirstParagraph"/>
      </w:pPr>
      <w:r>
        <w:t>The value of GSCX is not a single transaction.</w:t>
      </w:r>
    </w:p>
    <w:p w14:paraId="549C5D04" w14:textId="77777777" w:rsidR="007454ED" w:rsidRDefault="00000000">
      <w:pPr>
        <w:pStyle w:val="BodyText"/>
      </w:pPr>
      <w:r>
        <w:t>The value of GSCX is the infrastructure that enables many types of transactions to occur within a trusted ecosystem.</w:t>
      </w:r>
    </w:p>
    <w:p w14:paraId="0DA942AB" w14:textId="77777777" w:rsidR="007454ED" w:rsidRDefault="00000000">
      <w:pPr>
        <w:pStyle w:val="BodyText"/>
      </w:pPr>
      <w:r>
        <w:t>By creating a regulated framework for settlement, custody, compliance, risk management, and liquidity coordination, GSCX seeks to become a foundational layer supporting international trade and capital movement across global markets.</w:t>
      </w:r>
      <w:bookmarkEnd w:id="43"/>
    </w:p>
    <w:sectPr w:rsidR="007454ED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3EE079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ADA03D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17769528">
    <w:abstractNumId w:val="0"/>
  </w:num>
  <w:num w:numId="2" w16cid:durableId="581573170">
    <w:abstractNumId w:val="1"/>
  </w:num>
  <w:num w:numId="3" w16cid:durableId="144779211">
    <w:abstractNumId w:val="1"/>
  </w:num>
  <w:num w:numId="4" w16cid:durableId="1998150546">
    <w:abstractNumId w:val="1"/>
  </w:num>
  <w:num w:numId="5" w16cid:durableId="1860506235">
    <w:abstractNumId w:val="1"/>
  </w:num>
  <w:num w:numId="6" w16cid:durableId="1470980595">
    <w:abstractNumId w:val="1"/>
  </w:num>
  <w:num w:numId="7" w16cid:durableId="181021071">
    <w:abstractNumId w:val="1"/>
  </w:num>
  <w:num w:numId="8" w16cid:durableId="452601766">
    <w:abstractNumId w:val="1"/>
  </w:num>
  <w:num w:numId="9" w16cid:durableId="559754893">
    <w:abstractNumId w:val="1"/>
  </w:num>
  <w:num w:numId="10" w16cid:durableId="1263994506">
    <w:abstractNumId w:val="1"/>
  </w:num>
  <w:num w:numId="11" w16cid:durableId="1115364857">
    <w:abstractNumId w:val="1"/>
  </w:num>
  <w:num w:numId="12" w16cid:durableId="945116763">
    <w:abstractNumId w:val="1"/>
  </w:num>
  <w:num w:numId="13" w16cid:durableId="601644330">
    <w:abstractNumId w:val="1"/>
  </w:num>
  <w:num w:numId="14" w16cid:durableId="1988853253">
    <w:abstractNumId w:val="1"/>
  </w:num>
  <w:num w:numId="15" w16cid:durableId="1508905567">
    <w:abstractNumId w:val="1"/>
  </w:num>
  <w:num w:numId="16" w16cid:durableId="790175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ED"/>
    <w:rsid w:val="00596E28"/>
    <w:rsid w:val="007454ED"/>
    <w:rsid w:val="00A2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5AA3A"/>
  <w15:docId w15:val="{4B990996-26B5-4D37-817D-2159D153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986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White</dc:creator>
  <cp:keywords/>
  <cp:lastModifiedBy>Jaime White</cp:lastModifiedBy>
  <cp:revision>2</cp:revision>
  <dcterms:created xsi:type="dcterms:W3CDTF">2026-06-24T02:20:00Z</dcterms:created>
  <dcterms:modified xsi:type="dcterms:W3CDTF">2026-06-24T02:20:00Z</dcterms:modified>
</cp:coreProperties>
</file>