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B89D6" w14:textId="796F9CBB" w:rsidR="0053516E" w:rsidRDefault="0053516E" w:rsidP="001E3D40">
      <w:pPr>
        <w:pStyle w:val="ng-star-inserted"/>
        <w:shd w:val="clear" w:color="auto" w:fill="FFFFFF"/>
        <w:spacing w:before="0" w:beforeAutospacing="0" w:after="120" w:afterAutospacing="0"/>
        <w:rPr>
          <w:rStyle w:val="ng-star-inserted1"/>
          <w:rFonts w:asciiTheme="minorHAnsi" w:eastAsiaTheme="majorEastAsia" w:hAnsiTheme="minorHAnsi" w:cs="Arial"/>
          <w:color w:val="2B2D31"/>
          <w:sz w:val="22"/>
          <w:szCs w:val="22"/>
        </w:rPr>
      </w:pPr>
      <w:r>
        <w:rPr>
          <w:rStyle w:val="ng-star-inserted1"/>
          <w:rFonts w:asciiTheme="minorHAnsi" w:eastAsiaTheme="majorEastAsia" w:hAnsiTheme="minorHAnsi" w:cs="Arial"/>
          <w:color w:val="2B2D31"/>
          <w:sz w:val="22"/>
          <w:szCs w:val="22"/>
        </w:rPr>
        <w:t>UAE MTF</w:t>
      </w:r>
    </w:p>
    <w:p w14:paraId="02F9F4B3" w14:textId="77777777" w:rsidR="0053516E" w:rsidRDefault="0053516E" w:rsidP="001E3D40">
      <w:pPr>
        <w:pStyle w:val="ng-star-inserted"/>
        <w:shd w:val="clear" w:color="auto" w:fill="FFFFFF"/>
        <w:spacing w:before="0" w:beforeAutospacing="0" w:after="120" w:afterAutospacing="0"/>
        <w:rPr>
          <w:rStyle w:val="ng-star-inserted1"/>
          <w:rFonts w:asciiTheme="minorHAnsi" w:eastAsiaTheme="majorEastAsia" w:hAnsiTheme="minorHAnsi" w:cs="Arial"/>
          <w:color w:val="2B2D31"/>
          <w:sz w:val="22"/>
          <w:szCs w:val="22"/>
        </w:rPr>
      </w:pPr>
    </w:p>
    <w:p w14:paraId="127AF0DC" w14:textId="3D83C3C3" w:rsidR="001E3D40" w:rsidRPr="001E3D40" w:rsidRDefault="001E3D40" w:rsidP="001E3D40">
      <w:pPr>
        <w:pStyle w:val="ng-star-inserted"/>
        <w:shd w:val="clear" w:color="auto" w:fill="FFFFFF"/>
        <w:spacing w:before="0" w:beforeAutospacing="0" w:after="120" w:afterAutospacing="0"/>
        <w:rPr>
          <w:rFonts w:asciiTheme="minorHAnsi" w:hAnsiTheme="minorHAnsi" w:cs="Arial"/>
          <w:color w:val="2B2D31"/>
          <w:sz w:val="22"/>
          <w:szCs w:val="22"/>
        </w:rPr>
      </w:pPr>
      <w:r w:rsidRPr="001E3D40">
        <w:rPr>
          <w:rStyle w:val="ng-star-inserted1"/>
          <w:rFonts w:asciiTheme="minorHAnsi" w:eastAsiaTheme="majorEastAsia" w:hAnsiTheme="minorHAnsi" w:cs="Arial"/>
          <w:color w:val="2B2D31"/>
          <w:sz w:val="22"/>
          <w:szCs w:val="22"/>
        </w:rPr>
        <w:t xml:space="preserve">The UAE's Abu Dhabi Global Market (ADGM) has established a robust regulatory framework for financial technology (fintech) innovation, and a key component of this is </w:t>
      </w:r>
      <w:proofErr w:type="gramStart"/>
      <w:r w:rsidRPr="001E3D40">
        <w:rPr>
          <w:rStyle w:val="ng-star-inserted1"/>
          <w:rFonts w:asciiTheme="minorHAnsi" w:eastAsiaTheme="majorEastAsia" w:hAnsiTheme="minorHAnsi" w:cs="Arial"/>
          <w:color w:val="2B2D31"/>
          <w:sz w:val="22"/>
          <w:szCs w:val="22"/>
        </w:rPr>
        <w:t>the RegLab</w:t>
      </w:r>
      <w:proofErr w:type="gramEnd"/>
      <w:r w:rsidRPr="001E3D40">
        <w:rPr>
          <w:rStyle w:val="ng-star-inserted1"/>
          <w:rFonts w:asciiTheme="minorHAnsi" w:eastAsiaTheme="majorEastAsia" w:hAnsiTheme="minorHAnsi" w:cs="Arial"/>
          <w:color w:val="2B2D31"/>
          <w:sz w:val="22"/>
          <w:szCs w:val="22"/>
        </w:rPr>
        <w:t xml:space="preserve">. Within </w:t>
      </w:r>
      <w:proofErr w:type="gramStart"/>
      <w:r w:rsidRPr="001E3D40">
        <w:rPr>
          <w:rStyle w:val="ng-star-inserted1"/>
          <w:rFonts w:asciiTheme="minorHAnsi" w:eastAsiaTheme="majorEastAsia" w:hAnsiTheme="minorHAnsi" w:cs="Arial"/>
          <w:color w:val="2B2D31"/>
          <w:sz w:val="22"/>
          <w:szCs w:val="22"/>
        </w:rPr>
        <w:t>the RegLab</w:t>
      </w:r>
      <w:proofErr w:type="gramEnd"/>
      <w:r w:rsidRPr="001E3D40">
        <w:rPr>
          <w:rStyle w:val="ng-star-inserted1"/>
          <w:rFonts w:asciiTheme="minorHAnsi" w:eastAsiaTheme="majorEastAsia" w:hAnsiTheme="minorHAnsi" w:cs="Arial"/>
          <w:color w:val="2B2D31"/>
          <w:sz w:val="22"/>
          <w:szCs w:val="22"/>
        </w:rPr>
        <w:t>, a Multilateral Trading Facility (MTF) can operate, but it's important to understand the context.</w:t>
      </w:r>
    </w:p>
    <w:p w14:paraId="1176D9E7" w14:textId="77777777" w:rsidR="001E3D40" w:rsidRPr="001E3D40" w:rsidRDefault="001E3D40" w:rsidP="001E3D40">
      <w:pPr>
        <w:pStyle w:val="ng-star-inserted"/>
        <w:shd w:val="clear" w:color="auto" w:fill="FFFFFF"/>
        <w:spacing w:before="0" w:beforeAutospacing="0" w:after="120" w:afterAutospacing="0"/>
        <w:rPr>
          <w:rFonts w:asciiTheme="minorHAnsi" w:hAnsiTheme="minorHAnsi" w:cs="Arial"/>
          <w:color w:val="2B2D31"/>
          <w:sz w:val="22"/>
          <w:szCs w:val="22"/>
        </w:rPr>
      </w:pPr>
      <w:r w:rsidRPr="001E3D40">
        <w:rPr>
          <w:rStyle w:val="ng-star-inserted1"/>
          <w:rFonts w:asciiTheme="minorHAnsi" w:eastAsiaTheme="majorEastAsia" w:hAnsiTheme="minorHAnsi" w:cs="Arial"/>
          <w:b/>
          <w:bCs/>
          <w:color w:val="2B2D31"/>
          <w:sz w:val="22"/>
          <w:szCs w:val="22"/>
        </w:rPr>
        <w:t>ADGM RegLab:</w:t>
      </w:r>
    </w:p>
    <w:p w14:paraId="17922C51" w14:textId="77777777" w:rsidR="001E3D40" w:rsidRPr="001E3D40" w:rsidRDefault="001E3D40" w:rsidP="001E3D40">
      <w:pPr>
        <w:pStyle w:val="ng-star-inserted"/>
        <w:shd w:val="clear" w:color="auto" w:fill="FFFFFF"/>
        <w:spacing w:before="0" w:beforeAutospacing="0" w:after="120" w:afterAutospacing="0"/>
        <w:rPr>
          <w:rFonts w:asciiTheme="minorHAnsi" w:hAnsiTheme="minorHAnsi" w:cs="Arial"/>
          <w:color w:val="2B2D31"/>
          <w:sz w:val="22"/>
          <w:szCs w:val="22"/>
        </w:rPr>
      </w:pPr>
      <w:r w:rsidRPr="001E3D40">
        <w:rPr>
          <w:rStyle w:val="ng-star-inserted1"/>
          <w:rFonts w:asciiTheme="minorHAnsi" w:eastAsiaTheme="majorEastAsia" w:hAnsiTheme="minorHAnsi" w:cs="Arial"/>
          <w:color w:val="2B2D31"/>
          <w:sz w:val="22"/>
          <w:szCs w:val="22"/>
        </w:rPr>
        <w:t>The ADGM RegLab is a regulatory sandbox designed to allow fintech firms to test innovative products, services, and business models in a live environment, but with appropriate regulatory safeguards and supervision. It aims to strike a balance between fostering innovation and ensuring consumer protection and financial stability. Firms admitted to the RegLab operate under a restricted regulatory license and are subject to tailored supervision by the Financial Services Regulatory Authority (FSRA) of the ADGM.</w:t>
      </w:r>
    </w:p>
    <w:p w14:paraId="5DBAD825" w14:textId="77777777" w:rsidR="001E3D40" w:rsidRPr="001E3D40" w:rsidRDefault="001E3D40" w:rsidP="001E3D40">
      <w:pPr>
        <w:pStyle w:val="ng-star-inserted"/>
        <w:shd w:val="clear" w:color="auto" w:fill="FFFFFF"/>
        <w:spacing w:before="0" w:beforeAutospacing="0" w:after="120" w:afterAutospacing="0"/>
        <w:rPr>
          <w:rFonts w:asciiTheme="minorHAnsi" w:hAnsiTheme="minorHAnsi" w:cs="Arial"/>
          <w:color w:val="2B2D31"/>
          <w:sz w:val="22"/>
          <w:szCs w:val="22"/>
        </w:rPr>
      </w:pPr>
      <w:r w:rsidRPr="001E3D40">
        <w:rPr>
          <w:rStyle w:val="ng-star-inserted1"/>
          <w:rFonts w:asciiTheme="minorHAnsi" w:eastAsiaTheme="majorEastAsia" w:hAnsiTheme="minorHAnsi" w:cs="Arial"/>
          <w:b/>
          <w:bCs/>
          <w:color w:val="2B2D31"/>
          <w:sz w:val="22"/>
          <w:szCs w:val="22"/>
        </w:rPr>
        <w:t>MTF within RegLab:</w:t>
      </w:r>
    </w:p>
    <w:p w14:paraId="6402F089" w14:textId="77777777" w:rsidR="001E3D40" w:rsidRPr="001E3D40" w:rsidRDefault="001E3D40" w:rsidP="001E3D40">
      <w:pPr>
        <w:pStyle w:val="ng-star-inserted"/>
        <w:shd w:val="clear" w:color="auto" w:fill="FFFFFF"/>
        <w:spacing w:before="0" w:beforeAutospacing="0" w:after="120" w:afterAutospacing="0"/>
        <w:rPr>
          <w:rFonts w:asciiTheme="minorHAnsi" w:hAnsiTheme="minorHAnsi" w:cs="Arial"/>
          <w:color w:val="2B2D31"/>
          <w:sz w:val="22"/>
          <w:szCs w:val="22"/>
        </w:rPr>
      </w:pPr>
      <w:r w:rsidRPr="001E3D40">
        <w:rPr>
          <w:rStyle w:val="ng-star-inserted1"/>
          <w:rFonts w:asciiTheme="minorHAnsi" w:eastAsiaTheme="majorEastAsia" w:hAnsiTheme="minorHAnsi" w:cs="Arial"/>
          <w:color w:val="2B2D31"/>
          <w:sz w:val="22"/>
          <w:szCs w:val="22"/>
        </w:rPr>
        <w:t>When an MTF operates within the ADGM RegLab, it means a fintech company is testing a new type of trading platform that facilitates the exchange of financial instruments among multiple buying and selling interests. This could be for a variety of assets, including traditional securities, cryptocurrencies, or other innovative digital assets.</w:t>
      </w:r>
    </w:p>
    <w:p w14:paraId="5FD2A397" w14:textId="77777777" w:rsidR="001E3D40" w:rsidRPr="001E3D40" w:rsidRDefault="001E3D40" w:rsidP="001E3D40">
      <w:pPr>
        <w:pStyle w:val="ng-star-inserted"/>
        <w:shd w:val="clear" w:color="auto" w:fill="FFFFFF"/>
        <w:spacing w:before="0" w:beforeAutospacing="0" w:after="120" w:afterAutospacing="0"/>
        <w:rPr>
          <w:rFonts w:asciiTheme="minorHAnsi" w:hAnsiTheme="minorHAnsi" w:cs="Arial"/>
          <w:color w:val="2B2D31"/>
          <w:sz w:val="22"/>
          <w:szCs w:val="22"/>
        </w:rPr>
      </w:pPr>
      <w:r w:rsidRPr="001E3D40">
        <w:rPr>
          <w:rStyle w:val="ng-star-inserted1"/>
          <w:rFonts w:asciiTheme="minorHAnsi" w:eastAsiaTheme="majorEastAsia" w:hAnsiTheme="minorHAnsi" w:cs="Arial"/>
          <w:color w:val="2B2D31"/>
          <w:sz w:val="22"/>
          <w:szCs w:val="22"/>
        </w:rPr>
        <w:t>Here's what an MTF within the RegLab context would entail:</w:t>
      </w:r>
    </w:p>
    <w:p w14:paraId="2EDAC04F" w14:textId="77777777" w:rsidR="001E3D40" w:rsidRPr="001E3D40" w:rsidRDefault="001E3D40" w:rsidP="001E3D40">
      <w:pPr>
        <w:pStyle w:val="ng-star-inserted"/>
        <w:numPr>
          <w:ilvl w:val="0"/>
          <w:numId w:val="1"/>
        </w:numPr>
        <w:shd w:val="clear" w:color="auto" w:fill="FFFFFF"/>
        <w:spacing w:before="0" w:beforeAutospacing="0" w:after="120" w:afterAutospacing="0"/>
        <w:rPr>
          <w:rFonts w:asciiTheme="minorHAnsi" w:hAnsiTheme="minorHAnsi" w:cs="Arial"/>
          <w:color w:val="2B2D31"/>
          <w:sz w:val="22"/>
          <w:szCs w:val="22"/>
        </w:rPr>
      </w:pPr>
      <w:r w:rsidRPr="001E3D40">
        <w:rPr>
          <w:rStyle w:val="ng-star-inserted1"/>
          <w:rFonts w:asciiTheme="minorHAnsi" w:eastAsiaTheme="majorEastAsia" w:hAnsiTheme="minorHAnsi" w:cs="Arial"/>
          <w:b/>
          <w:bCs/>
          <w:color w:val="2B2D31"/>
          <w:sz w:val="22"/>
          <w:szCs w:val="22"/>
        </w:rPr>
        <w:t>Innovation:</w:t>
      </w:r>
      <w:r w:rsidRPr="001E3D40">
        <w:rPr>
          <w:rStyle w:val="ng-star-inserted1"/>
          <w:rFonts w:asciiTheme="minorHAnsi" w:eastAsiaTheme="majorEastAsia" w:hAnsiTheme="minorHAnsi" w:cs="Arial"/>
          <w:color w:val="2B2D31"/>
          <w:sz w:val="22"/>
          <w:szCs w:val="22"/>
        </w:rPr>
        <w:t> </w:t>
      </w:r>
      <w:proofErr w:type="gramStart"/>
      <w:r w:rsidRPr="001E3D40">
        <w:rPr>
          <w:rStyle w:val="ng-star-inserted1"/>
          <w:rFonts w:asciiTheme="minorHAnsi" w:eastAsiaTheme="majorEastAsia" w:hAnsiTheme="minorHAnsi" w:cs="Arial"/>
          <w:color w:val="2B2D31"/>
          <w:sz w:val="22"/>
          <w:szCs w:val="22"/>
        </w:rPr>
        <w:t>The MTF</w:t>
      </w:r>
      <w:proofErr w:type="gramEnd"/>
      <w:r w:rsidRPr="001E3D40">
        <w:rPr>
          <w:rStyle w:val="ng-star-inserted1"/>
          <w:rFonts w:asciiTheme="minorHAnsi" w:eastAsiaTheme="majorEastAsia" w:hAnsiTheme="minorHAnsi" w:cs="Arial"/>
          <w:color w:val="2B2D31"/>
          <w:sz w:val="22"/>
          <w:szCs w:val="22"/>
        </w:rPr>
        <w:t xml:space="preserve"> would likely be employing novel technologies (e.g., blockchain, AI, sophisticated algorithms) or a unique business model to facilitate trading.</w:t>
      </w:r>
    </w:p>
    <w:p w14:paraId="1910521F" w14:textId="77777777" w:rsidR="001E3D40" w:rsidRPr="001E3D40" w:rsidRDefault="001E3D40" w:rsidP="001E3D40">
      <w:pPr>
        <w:pStyle w:val="ng-star-inserted"/>
        <w:numPr>
          <w:ilvl w:val="0"/>
          <w:numId w:val="1"/>
        </w:numPr>
        <w:shd w:val="clear" w:color="auto" w:fill="FFFFFF"/>
        <w:spacing w:before="0" w:beforeAutospacing="0" w:after="120" w:afterAutospacing="0"/>
        <w:rPr>
          <w:rFonts w:asciiTheme="minorHAnsi" w:hAnsiTheme="minorHAnsi" w:cs="Arial"/>
          <w:color w:val="2B2D31"/>
          <w:sz w:val="22"/>
          <w:szCs w:val="22"/>
        </w:rPr>
      </w:pPr>
      <w:r w:rsidRPr="001E3D40">
        <w:rPr>
          <w:rStyle w:val="ng-star-inserted1"/>
          <w:rFonts w:asciiTheme="minorHAnsi" w:eastAsiaTheme="majorEastAsia" w:hAnsiTheme="minorHAnsi" w:cs="Arial"/>
          <w:b/>
          <w:bCs/>
          <w:color w:val="2B2D31"/>
          <w:sz w:val="22"/>
          <w:szCs w:val="22"/>
        </w:rPr>
        <w:t>Restricted Environment:</w:t>
      </w:r>
      <w:r w:rsidRPr="001E3D40">
        <w:rPr>
          <w:rStyle w:val="ng-star-inserted1"/>
          <w:rFonts w:asciiTheme="minorHAnsi" w:eastAsiaTheme="majorEastAsia" w:hAnsiTheme="minorHAnsi" w:cs="Arial"/>
          <w:color w:val="2B2D31"/>
          <w:sz w:val="22"/>
          <w:szCs w:val="22"/>
        </w:rPr>
        <w:t xml:space="preserve"> Because it's within the RegLab, </w:t>
      </w:r>
      <w:proofErr w:type="gramStart"/>
      <w:r w:rsidRPr="001E3D40">
        <w:rPr>
          <w:rStyle w:val="ng-star-inserted1"/>
          <w:rFonts w:asciiTheme="minorHAnsi" w:eastAsiaTheme="majorEastAsia" w:hAnsiTheme="minorHAnsi" w:cs="Arial"/>
          <w:color w:val="2B2D31"/>
          <w:sz w:val="22"/>
          <w:szCs w:val="22"/>
        </w:rPr>
        <w:t>the MTF</w:t>
      </w:r>
      <w:proofErr w:type="gramEnd"/>
      <w:r w:rsidRPr="001E3D40">
        <w:rPr>
          <w:rStyle w:val="ng-star-inserted1"/>
          <w:rFonts w:asciiTheme="minorHAnsi" w:eastAsiaTheme="majorEastAsia" w:hAnsiTheme="minorHAnsi" w:cs="Arial"/>
          <w:color w:val="2B2D31"/>
          <w:sz w:val="22"/>
          <w:szCs w:val="22"/>
        </w:rPr>
        <w:t xml:space="preserve"> would operate under specific limitations. These might include:</w:t>
      </w:r>
    </w:p>
    <w:p w14:paraId="222B2450" w14:textId="77777777" w:rsidR="001E3D40" w:rsidRPr="001E3D40" w:rsidRDefault="001E3D40" w:rsidP="001E3D40">
      <w:pPr>
        <w:pStyle w:val="ng-star-inserted"/>
        <w:numPr>
          <w:ilvl w:val="1"/>
          <w:numId w:val="1"/>
        </w:numPr>
        <w:shd w:val="clear" w:color="auto" w:fill="FFFFFF"/>
        <w:spacing w:before="0" w:beforeAutospacing="0" w:after="120" w:afterAutospacing="0"/>
        <w:rPr>
          <w:rFonts w:asciiTheme="minorHAnsi" w:hAnsiTheme="minorHAnsi" w:cs="Arial"/>
          <w:color w:val="2B2D31"/>
          <w:sz w:val="22"/>
          <w:szCs w:val="22"/>
        </w:rPr>
      </w:pPr>
      <w:r w:rsidRPr="001E3D40">
        <w:rPr>
          <w:rStyle w:val="ng-star-inserted1"/>
          <w:rFonts w:asciiTheme="minorHAnsi" w:eastAsiaTheme="majorEastAsia" w:hAnsiTheme="minorHAnsi" w:cs="Arial"/>
          <w:b/>
          <w:bCs/>
          <w:color w:val="2B2D31"/>
          <w:sz w:val="22"/>
          <w:szCs w:val="22"/>
        </w:rPr>
        <w:t>Limited Participants:</w:t>
      </w:r>
      <w:r w:rsidRPr="001E3D40">
        <w:rPr>
          <w:rStyle w:val="ng-star-inserted1"/>
          <w:rFonts w:asciiTheme="minorHAnsi" w:eastAsiaTheme="majorEastAsia" w:hAnsiTheme="minorHAnsi" w:cs="Arial"/>
          <w:color w:val="2B2D31"/>
          <w:sz w:val="22"/>
          <w:szCs w:val="22"/>
        </w:rPr>
        <w:t> The number and type of participants (e.g., retail vs. institutional investors) might be restricted.</w:t>
      </w:r>
    </w:p>
    <w:p w14:paraId="6C1CDB9D" w14:textId="77777777" w:rsidR="001E3D40" w:rsidRPr="001E3D40" w:rsidRDefault="001E3D40" w:rsidP="001E3D40">
      <w:pPr>
        <w:pStyle w:val="ng-star-inserted"/>
        <w:numPr>
          <w:ilvl w:val="1"/>
          <w:numId w:val="1"/>
        </w:numPr>
        <w:shd w:val="clear" w:color="auto" w:fill="FFFFFF"/>
        <w:spacing w:before="0" w:beforeAutospacing="0" w:after="120" w:afterAutospacing="0"/>
        <w:rPr>
          <w:rFonts w:asciiTheme="minorHAnsi" w:hAnsiTheme="minorHAnsi" w:cs="Arial"/>
          <w:color w:val="2B2D31"/>
          <w:sz w:val="22"/>
          <w:szCs w:val="22"/>
        </w:rPr>
      </w:pPr>
      <w:r w:rsidRPr="001E3D40">
        <w:rPr>
          <w:rStyle w:val="ng-star-inserted1"/>
          <w:rFonts w:asciiTheme="minorHAnsi" w:eastAsiaTheme="majorEastAsia" w:hAnsiTheme="minorHAnsi" w:cs="Arial"/>
          <w:b/>
          <w:bCs/>
          <w:color w:val="2B2D31"/>
          <w:sz w:val="22"/>
          <w:szCs w:val="22"/>
        </w:rPr>
        <w:t>Transaction Caps:</w:t>
      </w:r>
      <w:r w:rsidRPr="001E3D40">
        <w:rPr>
          <w:rStyle w:val="ng-star-inserted1"/>
          <w:rFonts w:asciiTheme="minorHAnsi" w:eastAsiaTheme="majorEastAsia" w:hAnsiTheme="minorHAnsi" w:cs="Arial"/>
          <w:color w:val="2B2D31"/>
          <w:sz w:val="22"/>
          <w:szCs w:val="22"/>
        </w:rPr>
        <w:t> There could be limits on the volume or value of transactions.</w:t>
      </w:r>
    </w:p>
    <w:p w14:paraId="2A220BF9" w14:textId="77777777" w:rsidR="001E3D40" w:rsidRPr="001E3D40" w:rsidRDefault="001E3D40" w:rsidP="001E3D40">
      <w:pPr>
        <w:pStyle w:val="ng-star-inserted"/>
        <w:numPr>
          <w:ilvl w:val="1"/>
          <w:numId w:val="1"/>
        </w:numPr>
        <w:shd w:val="clear" w:color="auto" w:fill="FFFFFF"/>
        <w:spacing w:before="0" w:beforeAutospacing="0" w:after="120" w:afterAutospacing="0"/>
        <w:rPr>
          <w:rFonts w:asciiTheme="minorHAnsi" w:hAnsiTheme="minorHAnsi" w:cs="Arial"/>
          <w:color w:val="2B2D31"/>
          <w:sz w:val="22"/>
          <w:szCs w:val="22"/>
        </w:rPr>
      </w:pPr>
      <w:r w:rsidRPr="001E3D40">
        <w:rPr>
          <w:rStyle w:val="ng-star-inserted1"/>
          <w:rFonts w:asciiTheme="minorHAnsi" w:eastAsiaTheme="majorEastAsia" w:hAnsiTheme="minorHAnsi" w:cs="Arial"/>
          <w:b/>
          <w:bCs/>
          <w:color w:val="2B2D31"/>
          <w:sz w:val="22"/>
          <w:szCs w:val="22"/>
        </w:rPr>
        <w:t>Specific Asset Classes:</w:t>
      </w:r>
      <w:r w:rsidRPr="001E3D40">
        <w:rPr>
          <w:rStyle w:val="ng-star-inserted1"/>
          <w:rFonts w:asciiTheme="minorHAnsi" w:eastAsiaTheme="majorEastAsia" w:hAnsiTheme="minorHAnsi" w:cs="Arial"/>
          <w:color w:val="2B2D31"/>
          <w:sz w:val="22"/>
          <w:szCs w:val="22"/>
        </w:rPr>
        <w:t> </w:t>
      </w:r>
      <w:proofErr w:type="gramStart"/>
      <w:r w:rsidRPr="001E3D40">
        <w:rPr>
          <w:rStyle w:val="ng-star-inserted1"/>
          <w:rFonts w:asciiTheme="minorHAnsi" w:eastAsiaTheme="majorEastAsia" w:hAnsiTheme="minorHAnsi" w:cs="Arial"/>
          <w:color w:val="2B2D31"/>
          <w:sz w:val="22"/>
          <w:szCs w:val="22"/>
        </w:rPr>
        <w:t>The MTF</w:t>
      </w:r>
      <w:proofErr w:type="gramEnd"/>
      <w:r w:rsidRPr="001E3D40">
        <w:rPr>
          <w:rStyle w:val="ng-star-inserted1"/>
          <w:rFonts w:asciiTheme="minorHAnsi" w:eastAsiaTheme="majorEastAsia" w:hAnsiTheme="minorHAnsi" w:cs="Arial"/>
          <w:color w:val="2B2D31"/>
          <w:sz w:val="22"/>
          <w:szCs w:val="22"/>
        </w:rPr>
        <w:t xml:space="preserve"> might only be approved to trade certain types of assets during the testing phase.</w:t>
      </w:r>
    </w:p>
    <w:p w14:paraId="773225B2" w14:textId="77777777" w:rsidR="001E3D40" w:rsidRPr="001E3D40" w:rsidRDefault="001E3D40" w:rsidP="001E3D40">
      <w:pPr>
        <w:pStyle w:val="ng-star-inserted"/>
        <w:numPr>
          <w:ilvl w:val="1"/>
          <w:numId w:val="1"/>
        </w:numPr>
        <w:shd w:val="clear" w:color="auto" w:fill="FFFFFF"/>
        <w:spacing w:before="0" w:beforeAutospacing="0" w:after="120" w:afterAutospacing="0"/>
        <w:rPr>
          <w:rFonts w:asciiTheme="minorHAnsi" w:hAnsiTheme="minorHAnsi" w:cs="Arial"/>
          <w:color w:val="2B2D31"/>
          <w:sz w:val="22"/>
          <w:szCs w:val="22"/>
        </w:rPr>
      </w:pPr>
      <w:r w:rsidRPr="001E3D40">
        <w:rPr>
          <w:rStyle w:val="ng-star-inserted1"/>
          <w:rFonts w:asciiTheme="minorHAnsi" w:eastAsiaTheme="majorEastAsia" w:hAnsiTheme="minorHAnsi" w:cs="Arial"/>
          <w:b/>
          <w:bCs/>
          <w:color w:val="2B2D31"/>
          <w:sz w:val="22"/>
          <w:szCs w:val="22"/>
        </w:rPr>
        <w:t>Increased Oversight:</w:t>
      </w:r>
      <w:r w:rsidRPr="001E3D40">
        <w:rPr>
          <w:rStyle w:val="ng-star-inserted1"/>
          <w:rFonts w:asciiTheme="minorHAnsi" w:eastAsiaTheme="majorEastAsia" w:hAnsiTheme="minorHAnsi" w:cs="Arial"/>
          <w:color w:val="2B2D31"/>
          <w:sz w:val="22"/>
          <w:szCs w:val="22"/>
        </w:rPr>
        <w:t xml:space="preserve"> The FSRA would be closely monitoring </w:t>
      </w:r>
      <w:proofErr w:type="gramStart"/>
      <w:r w:rsidRPr="001E3D40">
        <w:rPr>
          <w:rStyle w:val="ng-star-inserted1"/>
          <w:rFonts w:asciiTheme="minorHAnsi" w:eastAsiaTheme="majorEastAsia" w:hAnsiTheme="minorHAnsi" w:cs="Arial"/>
          <w:color w:val="2B2D31"/>
          <w:sz w:val="22"/>
          <w:szCs w:val="22"/>
        </w:rPr>
        <w:t>the MTF's</w:t>
      </w:r>
      <w:proofErr w:type="gramEnd"/>
      <w:r w:rsidRPr="001E3D40">
        <w:rPr>
          <w:rStyle w:val="ng-star-inserted1"/>
          <w:rFonts w:asciiTheme="minorHAnsi" w:eastAsiaTheme="majorEastAsia" w:hAnsiTheme="minorHAnsi" w:cs="Arial"/>
          <w:color w:val="2B2D31"/>
          <w:sz w:val="22"/>
          <w:szCs w:val="22"/>
        </w:rPr>
        <w:t xml:space="preserve"> operations, collecting data, and assessing risks.</w:t>
      </w:r>
    </w:p>
    <w:p w14:paraId="59DD207D" w14:textId="77777777" w:rsidR="001E3D40" w:rsidRPr="001E3D40" w:rsidRDefault="001E3D40" w:rsidP="001E3D40">
      <w:pPr>
        <w:pStyle w:val="ng-star-inserted"/>
        <w:numPr>
          <w:ilvl w:val="0"/>
          <w:numId w:val="1"/>
        </w:numPr>
        <w:shd w:val="clear" w:color="auto" w:fill="FFFFFF"/>
        <w:spacing w:before="0" w:beforeAutospacing="0" w:after="120" w:afterAutospacing="0"/>
        <w:rPr>
          <w:rFonts w:asciiTheme="minorHAnsi" w:hAnsiTheme="minorHAnsi" w:cs="Arial"/>
          <w:color w:val="2B2D31"/>
          <w:sz w:val="22"/>
          <w:szCs w:val="22"/>
        </w:rPr>
      </w:pPr>
      <w:r w:rsidRPr="001E3D40">
        <w:rPr>
          <w:rStyle w:val="ng-star-inserted1"/>
          <w:rFonts w:asciiTheme="minorHAnsi" w:eastAsiaTheme="majorEastAsia" w:hAnsiTheme="minorHAnsi" w:cs="Arial"/>
          <w:b/>
          <w:bCs/>
          <w:color w:val="2B2D31"/>
          <w:sz w:val="22"/>
          <w:szCs w:val="22"/>
        </w:rPr>
        <w:t>Regulatory Learning:</w:t>
      </w:r>
      <w:r w:rsidRPr="001E3D40">
        <w:rPr>
          <w:rStyle w:val="ng-star-inserted1"/>
          <w:rFonts w:asciiTheme="minorHAnsi" w:eastAsiaTheme="majorEastAsia" w:hAnsiTheme="minorHAnsi" w:cs="Arial"/>
          <w:color w:val="2B2D31"/>
          <w:sz w:val="22"/>
          <w:szCs w:val="22"/>
        </w:rPr>
        <w:t> The purpose is for both the fintech firm and the regulator to learn. The firm tests its innovation, while the FSRA gathers insights into how to best regulate such new technologies and business models for broader market adoption.</w:t>
      </w:r>
    </w:p>
    <w:p w14:paraId="13343AF2" w14:textId="77777777" w:rsidR="001E3D40" w:rsidRPr="001E3D40" w:rsidRDefault="001E3D40" w:rsidP="001E3D40">
      <w:pPr>
        <w:pStyle w:val="ng-star-inserted"/>
        <w:numPr>
          <w:ilvl w:val="0"/>
          <w:numId w:val="1"/>
        </w:numPr>
        <w:shd w:val="clear" w:color="auto" w:fill="FFFFFF"/>
        <w:spacing w:before="0" w:beforeAutospacing="0" w:after="120" w:afterAutospacing="0"/>
        <w:rPr>
          <w:rFonts w:asciiTheme="minorHAnsi" w:hAnsiTheme="minorHAnsi" w:cs="Arial"/>
          <w:color w:val="2B2D31"/>
          <w:sz w:val="22"/>
          <w:szCs w:val="22"/>
        </w:rPr>
      </w:pPr>
      <w:r w:rsidRPr="001E3D40">
        <w:rPr>
          <w:rStyle w:val="ng-star-inserted1"/>
          <w:rFonts w:asciiTheme="minorHAnsi" w:eastAsiaTheme="majorEastAsia" w:hAnsiTheme="minorHAnsi" w:cs="Arial"/>
          <w:b/>
          <w:bCs/>
          <w:color w:val="2B2D31"/>
          <w:sz w:val="22"/>
          <w:szCs w:val="22"/>
        </w:rPr>
        <w:t>Path to Full Authorization:</w:t>
      </w:r>
      <w:r w:rsidRPr="001E3D40">
        <w:rPr>
          <w:rStyle w:val="ng-star-inserted1"/>
          <w:rFonts w:asciiTheme="minorHAnsi" w:eastAsiaTheme="majorEastAsia" w:hAnsiTheme="minorHAnsi" w:cs="Arial"/>
          <w:color w:val="2B2D31"/>
          <w:sz w:val="22"/>
          <w:szCs w:val="22"/>
        </w:rPr>
        <w:t> If the MTF successfully completes its testing phase within the RegLab and demonstrates its viability and adherence to regulatory principles, it may then apply for a full regulatory license to operate as an unrestricted MTF within the ADGM.</w:t>
      </w:r>
    </w:p>
    <w:p w14:paraId="55C62018" w14:textId="77777777" w:rsidR="001E3D40" w:rsidRPr="001E3D40" w:rsidRDefault="001E3D40" w:rsidP="001E3D40">
      <w:pPr>
        <w:pStyle w:val="ng-star-inserted"/>
        <w:shd w:val="clear" w:color="auto" w:fill="FFFFFF"/>
        <w:spacing w:before="0" w:beforeAutospacing="0" w:after="120" w:afterAutospacing="0"/>
        <w:rPr>
          <w:rFonts w:asciiTheme="minorHAnsi" w:hAnsiTheme="minorHAnsi" w:cs="Arial"/>
          <w:color w:val="2B2D31"/>
          <w:sz w:val="22"/>
          <w:szCs w:val="22"/>
        </w:rPr>
      </w:pPr>
      <w:r w:rsidRPr="001E3D40">
        <w:rPr>
          <w:rStyle w:val="ng-star-inserted1"/>
          <w:rFonts w:asciiTheme="minorHAnsi" w:eastAsiaTheme="majorEastAsia" w:hAnsiTheme="minorHAnsi" w:cs="Arial"/>
          <w:color w:val="2B2D31"/>
          <w:sz w:val="22"/>
          <w:szCs w:val="22"/>
        </w:rPr>
        <w:t>In essence, an MTF within the ADGM RegLab is a controlled experiment for a new trading platform, allowing it to develop and mature under regulatory guidance before being fully unleashed into the broader financial market.</w:t>
      </w:r>
    </w:p>
    <w:p w14:paraId="3DF996A3" w14:textId="7AE0B187" w:rsidR="001E3D40" w:rsidRDefault="001E3D40" w:rsidP="001E3D40">
      <w:pPr>
        <w:pStyle w:val="NormalWeb"/>
      </w:pPr>
      <w:r>
        <w:rPr>
          <w:noProof/>
        </w:rPr>
        <w:lastRenderedPageBreak/>
        <w:drawing>
          <wp:inline distT="0" distB="0" distL="0" distR="0" wp14:anchorId="5A99164E" wp14:editId="055DCF27">
            <wp:extent cx="5943600" cy="5943600"/>
            <wp:effectExtent l="0" t="0" r="0" b="0"/>
            <wp:docPr id="733701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3C4C623E" w14:textId="63841F6E" w:rsidR="0053516E" w:rsidRDefault="0053516E" w:rsidP="0053516E">
      <w:pPr>
        <w:pStyle w:val="NormalWeb"/>
      </w:pPr>
      <w:r>
        <w:rPr>
          <w:noProof/>
        </w:rPr>
        <w:lastRenderedPageBreak/>
        <w:drawing>
          <wp:inline distT="0" distB="0" distL="0" distR="0" wp14:anchorId="7EA5DE41" wp14:editId="7DDB5CCD">
            <wp:extent cx="5943600" cy="5943600"/>
            <wp:effectExtent l="0" t="0" r="0" b="0"/>
            <wp:docPr id="15883126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0BC9786E" w14:textId="77777777" w:rsidR="00A03483" w:rsidRPr="001E3D40" w:rsidRDefault="00A03483" w:rsidP="001E3D40">
      <w:pPr>
        <w:spacing w:after="120" w:line="240" w:lineRule="auto"/>
        <w:rPr>
          <w:sz w:val="22"/>
          <w:szCs w:val="22"/>
        </w:rPr>
      </w:pPr>
    </w:p>
    <w:sectPr w:rsidR="00A03483" w:rsidRPr="001E3D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6D5B4C"/>
    <w:multiLevelType w:val="multilevel"/>
    <w:tmpl w:val="7398EB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3733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LU0MLAwMrQwtDCwNDVQ0lEKTi0uzszPAykwrAUAUgljwCwAAAA="/>
  </w:docVars>
  <w:rsids>
    <w:rsidRoot w:val="001E3D40"/>
    <w:rsid w:val="001E3D40"/>
    <w:rsid w:val="005020E7"/>
    <w:rsid w:val="0053516E"/>
    <w:rsid w:val="009667EC"/>
    <w:rsid w:val="0098613E"/>
    <w:rsid w:val="00A03483"/>
    <w:rsid w:val="00F60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37AB0"/>
  <w15:chartTrackingRefBased/>
  <w15:docId w15:val="{6F03C77C-5A28-4BE8-8034-289938A2F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3D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3D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3D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3D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3D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3D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3D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3D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3D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3D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3D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3D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3D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3D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3D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3D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3D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3D40"/>
    <w:rPr>
      <w:rFonts w:eastAsiaTheme="majorEastAsia" w:cstheme="majorBidi"/>
      <w:color w:val="272727" w:themeColor="text1" w:themeTint="D8"/>
    </w:rPr>
  </w:style>
  <w:style w:type="paragraph" w:styleId="Title">
    <w:name w:val="Title"/>
    <w:basedOn w:val="Normal"/>
    <w:next w:val="Normal"/>
    <w:link w:val="TitleChar"/>
    <w:uiPriority w:val="10"/>
    <w:qFormat/>
    <w:rsid w:val="001E3D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3D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3D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3D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3D40"/>
    <w:pPr>
      <w:spacing w:before="160"/>
      <w:jc w:val="center"/>
    </w:pPr>
    <w:rPr>
      <w:i/>
      <w:iCs/>
      <w:color w:val="404040" w:themeColor="text1" w:themeTint="BF"/>
    </w:rPr>
  </w:style>
  <w:style w:type="character" w:customStyle="1" w:styleId="QuoteChar">
    <w:name w:val="Quote Char"/>
    <w:basedOn w:val="DefaultParagraphFont"/>
    <w:link w:val="Quote"/>
    <w:uiPriority w:val="29"/>
    <w:rsid w:val="001E3D40"/>
    <w:rPr>
      <w:i/>
      <w:iCs/>
      <w:color w:val="404040" w:themeColor="text1" w:themeTint="BF"/>
    </w:rPr>
  </w:style>
  <w:style w:type="paragraph" w:styleId="ListParagraph">
    <w:name w:val="List Paragraph"/>
    <w:basedOn w:val="Normal"/>
    <w:uiPriority w:val="34"/>
    <w:qFormat/>
    <w:rsid w:val="001E3D40"/>
    <w:pPr>
      <w:ind w:left="720"/>
      <w:contextualSpacing/>
    </w:pPr>
  </w:style>
  <w:style w:type="character" w:styleId="IntenseEmphasis">
    <w:name w:val="Intense Emphasis"/>
    <w:basedOn w:val="DefaultParagraphFont"/>
    <w:uiPriority w:val="21"/>
    <w:qFormat/>
    <w:rsid w:val="001E3D40"/>
    <w:rPr>
      <w:i/>
      <w:iCs/>
      <w:color w:val="0F4761" w:themeColor="accent1" w:themeShade="BF"/>
    </w:rPr>
  </w:style>
  <w:style w:type="paragraph" w:styleId="IntenseQuote">
    <w:name w:val="Intense Quote"/>
    <w:basedOn w:val="Normal"/>
    <w:next w:val="Normal"/>
    <w:link w:val="IntenseQuoteChar"/>
    <w:uiPriority w:val="30"/>
    <w:qFormat/>
    <w:rsid w:val="001E3D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3D40"/>
    <w:rPr>
      <w:i/>
      <w:iCs/>
      <w:color w:val="0F4761" w:themeColor="accent1" w:themeShade="BF"/>
    </w:rPr>
  </w:style>
  <w:style w:type="character" w:styleId="IntenseReference">
    <w:name w:val="Intense Reference"/>
    <w:basedOn w:val="DefaultParagraphFont"/>
    <w:uiPriority w:val="32"/>
    <w:qFormat/>
    <w:rsid w:val="001E3D40"/>
    <w:rPr>
      <w:b/>
      <w:bCs/>
      <w:smallCaps/>
      <w:color w:val="0F4761" w:themeColor="accent1" w:themeShade="BF"/>
      <w:spacing w:val="5"/>
    </w:rPr>
  </w:style>
  <w:style w:type="paragraph" w:customStyle="1" w:styleId="ng-star-inserted">
    <w:name w:val="ng-star-inserted"/>
    <w:basedOn w:val="Normal"/>
    <w:rsid w:val="001E3D4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g-star-inserted1">
    <w:name w:val="ng-star-inserted1"/>
    <w:basedOn w:val="DefaultParagraphFont"/>
    <w:rsid w:val="001E3D40"/>
  </w:style>
  <w:style w:type="paragraph" w:styleId="NormalWeb">
    <w:name w:val="Normal (Web)"/>
    <w:basedOn w:val="Normal"/>
    <w:uiPriority w:val="99"/>
    <w:semiHidden/>
    <w:unhideWhenUsed/>
    <w:rsid w:val="001E3D40"/>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408</Words>
  <Characters>2306</Characters>
  <Application>Microsoft Office Word</Application>
  <DocSecurity>0</DocSecurity>
  <Lines>37</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dc:creator>
  <cp:keywords/>
  <dc:description/>
  <cp:lastModifiedBy>MJ</cp:lastModifiedBy>
  <cp:revision>1</cp:revision>
  <dcterms:created xsi:type="dcterms:W3CDTF">2026-02-18T15:07:00Z</dcterms:created>
  <dcterms:modified xsi:type="dcterms:W3CDTF">2026-02-18T15:33:00Z</dcterms:modified>
</cp:coreProperties>
</file>