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0A66" w14:textId="74516542" w:rsidR="00F84B03" w:rsidRPr="00684F55" w:rsidRDefault="00F84B03" w:rsidP="00F84B03">
      <w:pPr>
        <w:pStyle w:val="ng-star-inserted"/>
        <w:shd w:val="clear" w:color="auto" w:fill="FFFFFF"/>
        <w:spacing w:before="0" w:beforeAutospacing="0" w:after="120" w:afterAutospacing="0"/>
        <w:jc w:val="center"/>
        <w:rPr>
          <w:rStyle w:val="ng-star-inserted1"/>
          <w:rFonts w:asciiTheme="minorHAnsi" w:eastAsiaTheme="majorEastAsia" w:hAnsiTheme="minorHAnsi" w:cs="Arial"/>
          <w:b/>
          <w:bCs/>
          <w:color w:val="2B2D31"/>
          <w:sz w:val="32"/>
          <w:szCs w:val="32"/>
        </w:rPr>
      </w:pPr>
      <w:r w:rsidRPr="00684F55">
        <w:rPr>
          <w:rStyle w:val="ng-star-inserted1"/>
          <w:rFonts w:asciiTheme="minorHAnsi" w:eastAsiaTheme="majorEastAsia" w:hAnsiTheme="minorHAnsi" w:cs="Arial"/>
          <w:b/>
          <w:bCs/>
          <w:color w:val="2B2D31"/>
          <w:sz w:val="32"/>
          <w:szCs w:val="32"/>
        </w:rPr>
        <w:t>Stablecoin Restricting LMIC</w:t>
      </w:r>
    </w:p>
    <w:p w14:paraId="29A08377" w14:textId="77777777" w:rsidR="00F84B03" w:rsidRDefault="00F84B03" w:rsidP="00684F55">
      <w:pPr>
        <w:pStyle w:val="ng-star-inserted"/>
        <w:shd w:val="clear" w:color="auto" w:fill="FFFFFF"/>
        <w:spacing w:before="0" w:beforeAutospacing="0" w:after="0" w:afterAutospacing="0"/>
        <w:rPr>
          <w:rStyle w:val="ng-star-inserted1"/>
          <w:rFonts w:asciiTheme="minorHAnsi" w:eastAsiaTheme="majorEastAsia" w:hAnsiTheme="minorHAnsi" w:cs="Arial"/>
          <w:color w:val="2B2D31"/>
          <w:sz w:val="21"/>
          <w:szCs w:val="21"/>
        </w:rPr>
      </w:pPr>
    </w:p>
    <w:p w14:paraId="36269C99" w14:textId="10BFD023"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color w:val="2B2D31"/>
          <w:sz w:val="21"/>
          <w:szCs w:val="21"/>
        </w:rPr>
        <w:t>Many Low and Middle-Income Countries (LMICs) either explicitly restrict or have a de facto restriction on stablecoins through their broader cryptocurrency regulations. The primary drivers for these restrictions often include:</w:t>
      </w:r>
    </w:p>
    <w:p w14:paraId="02526AF5" w14:textId="77777777" w:rsidR="00F84B03" w:rsidRPr="00F84B03" w:rsidRDefault="00F84B03" w:rsidP="001638A8">
      <w:pPr>
        <w:pStyle w:val="ng-star-inserted"/>
        <w:numPr>
          <w:ilvl w:val="0"/>
          <w:numId w:val="1"/>
        </w:numPr>
        <w:shd w:val="clear" w:color="auto" w:fill="FFFFFF"/>
        <w:tabs>
          <w:tab w:val="clear" w:pos="720"/>
          <w:tab w:val="num" w:pos="360"/>
          <w:tab w:val="left" w:pos="450"/>
        </w:tabs>
        <w:spacing w:before="0" w:beforeAutospacing="0" w:after="0" w:afterAutospacing="0"/>
        <w:ind w:left="36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Financial Stability Concerns:</w:t>
      </w:r>
      <w:r w:rsidRPr="00F84B03">
        <w:rPr>
          <w:rStyle w:val="ng-star-inserted1"/>
          <w:rFonts w:asciiTheme="minorHAnsi" w:eastAsiaTheme="majorEastAsia" w:hAnsiTheme="minorHAnsi" w:cs="Arial"/>
          <w:color w:val="2B2D31"/>
          <w:sz w:val="21"/>
          <w:szCs w:val="21"/>
        </w:rPr>
        <w:t> Fear that stablecoins could undermine the national currency, lead to capital flight, or complicate monetary policy.</w:t>
      </w:r>
    </w:p>
    <w:p w14:paraId="2EDDF685" w14:textId="77777777" w:rsidR="00F84B03" w:rsidRPr="00F84B03" w:rsidRDefault="00F84B03" w:rsidP="001638A8">
      <w:pPr>
        <w:pStyle w:val="ng-star-inserted"/>
        <w:numPr>
          <w:ilvl w:val="0"/>
          <w:numId w:val="1"/>
        </w:numPr>
        <w:shd w:val="clear" w:color="auto" w:fill="FFFFFF"/>
        <w:tabs>
          <w:tab w:val="clear" w:pos="720"/>
          <w:tab w:val="num" w:pos="360"/>
          <w:tab w:val="left" w:pos="450"/>
        </w:tabs>
        <w:spacing w:before="0" w:beforeAutospacing="0" w:after="0" w:afterAutospacing="0"/>
        <w:ind w:left="36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Consumer Protection:</w:t>
      </w:r>
      <w:r w:rsidRPr="00F84B03">
        <w:rPr>
          <w:rStyle w:val="ng-star-inserted1"/>
          <w:rFonts w:asciiTheme="minorHAnsi" w:eastAsiaTheme="majorEastAsia" w:hAnsiTheme="minorHAnsi" w:cs="Arial"/>
          <w:color w:val="2B2D31"/>
          <w:sz w:val="21"/>
          <w:szCs w:val="21"/>
        </w:rPr>
        <w:t> Concerns about lack of regulation, potential for scams, and the volatility of crypto markets, even for stablecoins.</w:t>
      </w:r>
    </w:p>
    <w:p w14:paraId="14472B08" w14:textId="77777777" w:rsidR="00F84B03" w:rsidRPr="00F84B03" w:rsidRDefault="00F84B03" w:rsidP="001638A8">
      <w:pPr>
        <w:pStyle w:val="ng-star-inserted"/>
        <w:numPr>
          <w:ilvl w:val="0"/>
          <w:numId w:val="1"/>
        </w:numPr>
        <w:shd w:val="clear" w:color="auto" w:fill="FFFFFF"/>
        <w:tabs>
          <w:tab w:val="clear" w:pos="720"/>
          <w:tab w:val="num" w:pos="360"/>
          <w:tab w:val="left" w:pos="450"/>
        </w:tabs>
        <w:spacing w:before="0" w:beforeAutospacing="0" w:after="0" w:afterAutospacing="0"/>
        <w:ind w:left="36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Anti-Money Laundering (AML) / Counter-Financing of Terrorism (CFT):</w:t>
      </w:r>
      <w:r w:rsidRPr="00F84B03">
        <w:rPr>
          <w:rStyle w:val="ng-star-inserted1"/>
          <w:rFonts w:asciiTheme="minorHAnsi" w:eastAsiaTheme="majorEastAsia" w:hAnsiTheme="minorHAnsi" w:cs="Arial"/>
          <w:color w:val="2B2D31"/>
          <w:sz w:val="21"/>
          <w:szCs w:val="21"/>
        </w:rPr>
        <w:t> Difficulties in monitoring transactions and identifying users, making stablecoins a perceived risk for illicit activities.</w:t>
      </w:r>
    </w:p>
    <w:p w14:paraId="094A8CCE" w14:textId="77777777" w:rsidR="00F84B03" w:rsidRPr="00F84B03" w:rsidRDefault="00F84B03" w:rsidP="001638A8">
      <w:pPr>
        <w:pStyle w:val="ng-star-inserted"/>
        <w:numPr>
          <w:ilvl w:val="0"/>
          <w:numId w:val="1"/>
        </w:numPr>
        <w:shd w:val="clear" w:color="auto" w:fill="FFFFFF"/>
        <w:tabs>
          <w:tab w:val="clear" w:pos="720"/>
          <w:tab w:val="num" w:pos="360"/>
          <w:tab w:val="left" w:pos="450"/>
        </w:tabs>
        <w:spacing w:before="0" w:beforeAutospacing="0" w:after="0" w:afterAutospacing="0"/>
        <w:ind w:left="36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Capital Controls:</w:t>
      </w:r>
      <w:r w:rsidRPr="00F84B03">
        <w:rPr>
          <w:rStyle w:val="ng-star-inserted1"/>
          <w:rFonts w:asciiTheme="minorHAnsi" w:eastAsiaTheme="majorEastAsia" w:hAnsiTheme="minorHAnsi" w:cs="Arial"/>
          <w:color w:val="2B2D31"/>
          <w:sz w:val="21"/>
          <w:szCs w:val="21"/>
        </w:rPr>
        <w:t> Governments in LMICs often use capital controls to manage currency flows, and stablecoins could be seen as a way to circumvent these.</w:t>
      </w:r>
    </w:p>
    <w:p w14:paraId="0C086579" w14:textId="77777777" w:rsidR="00F84B03" w:rsidRPr="00F84B03" w:rsidRDefault="00F84B03" w:rsidP="001638A8">
      <w:pPr>
        <w:pStyle w:val="ng-star-inserted"/>
        <w:numPr>
          <w:ilvl w:val="0"/>
          <w:numId w:val="1"/>
        </w:numPr>
        <w:shd w:val="clear" w:color="auto" w:fill="FFFFFF"/>
        <w:tabs>
          <w:tab w:val="clear" w:pos="720"/>
          <w:tab w:val="num" w:pos="360"/>
          <w:tab w:val="left" w:pos="450"/>
        </w:tabs>
        <w:spacing w:before="0" w:beforeAutospacing="0" w:after="120" w:afterAutospacing="0"/>
        <w:ind w:left="36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Lack of Regulatory Framework:</w:t>
      </w:r>
      <w:r w:rsidRPr="00F84B03">
        <w:rPr>
          <w:rStyle w:val="ng-star-inserted1"/>
          <w:rFonts w:asciiTheme="minorHAnsi" w:eastAsiaTheme="majorEastAsia" w:hAnsiTheme="minorHAnsi" w:cs="Arial"/>
          <w:color w:val="2B2D31"/>
          <w:sz w:val="21"/>
          <w:szCs w:val="21"/>
        </w:rPr>
        <w:t> Many LMICs simply haven't developed comprehensive regulations for crypto, leading to a default restrictive stance until frameworks are established.</w:t>
      </w:r>
    </w:p>
    <w:p w14:paraId="392993FF" w14:textId="3010F51C"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color w:val="2B2D31"/>
          <w:sz w:val="21"/>
          <w:szCs w:val="21"/>
        </w:rPr>
        <w:t xml:space="preserve">It's important to note that the regulatory landscape for cryptocurrencies, including stablecoins, is highly dynamic and constantly evolving. What might be restricted today could be regulated tomorrow, and </w:t>
      </w:r>
      <w:r w:rsidRPr="00F84B03">
        <w:rPr>
          <w:rStyle w:val="ng-star-inserted1"/>
          <w:rFonts w:asciiTheme="minorHAnsi" w:eastAsiaTheme="majorEastAsia" w:hAnsiTheme="minorHAnsi" w:cs="Arial"/>
          <w:color w:val="2B2D31"/>
          <w:sz w:val="21"/>
          <w:szCs w:val="21"/>
        </w:rPr>
        <w:t>vice versa</w:t>
      </w:r>
      <w:r w:rsidRPr="00F84B03">
        <w:rPr>
          <w:rStyle w:val="ng-star-inserted1"/>
          <w:rFonts w:asciiTheme="minorHAnsi" w:eastAsiaTheme="majorEastAsia" w:hAnsiTheme="minorHAnsi" w:cs="Arial"/>
          <w:color w:val="2B2D31"/>
          <w:sz w:val="21"/>
          <w:szCs w:val="21"/>
        </w:rPr>
        <w:t>. Also, "restriction" can range from an outright ban to a lack of legal recognition, making it impractical for use within the formal financial system.</w:t>
      </w:r>
    </w:p>
    <w:p w14:paraId="0B1F6A97" w14:textId="77777777"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color w:val="2B2D31"/>
          <w:sz w:val="21"/>
          <w:szCs w:val="21"/>
        </w:rPr>
        <w:t>Here's a general overview of countries that often have significant restrictions, though this is not an exhaustive list and situations can change rapidly:</w:t>
      </w:r>
    </w:p>
    <w:p w14:paraId="4F48EB3C" w14:textId="77777777"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Countries with Explicit Bans or Severe Restrictions on Cryptocurrencies (including Stablecoins by default):</w:t>
      </w:r>
    </w:p>
    <w:p w14:paraId="3B754878" w14:textId="77777777" w:rsidR="00F84B03" w:rsidRPr="00F84B03" w:rsidRDefault="00F84B03" w:rsidP="00A33F74">
      <w:pPr>
        <w:pStyle w:val="ng-star-inserted"/>
        <w:numPr>
          <w:ilvl w:val="0"/>
          <w:numId w:val="2"/>
        </w:numPr>
        <w:shd w:val="clear" w:color="auto" w:fill="FFFFFF"/>
        <w:tabs>
          <w:tab w:val="clear" w:pos="720"/>
          <w:tab w:val="num" w:pos="450"/>
        </w:tabs>
        <w:spacing w:before="0" w:beforeAutospacing="0" w:after="120" w:afterAutospacing="0"/>
        <w:ind w:left="36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Africa:</w:t>
      </w:r>
    </w:p>
    <w:p w14:paraId="1D69FE1C" w14:textId="77777777" w:rsidR="00F84B03" w:rsidRPr="00F84B03" w:rsidRDefault="00F84B03" w:rsidP="001638A8">
      <w:pPr>
        <w:pStyle w:val="ng-star-inserted"/>
        <w:numPr>
          <w:ilvl w:val="1"/>
          <w:numId w:val="2"/>
        </w:numPr>
        <w:shd w:val="clear" w:color="auto" w:fill="FFFFFF"/>
        <w:tabs>
          <w:tab w:val="clear" w:pos="144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Egypt:</w:t>
      </w:r>
      <w:r w:rsidRPr="00F84B03">
        <w:rPr>
          <w:rStyle w:val="ng-star-inserted1"/>
          <w:rFonts w:asciiTheme="minorHAnsi" w:eastAsiaTheme="majorEastAsia" w:hAnsiTheme="minorHAnsi" w:cs="Arial"/>
          <w:color w:val="2B2D31"/>
          <w:sz w:val="21"/>
          <w:szCs w:val="21"/>
        </w:rPr>
        <w:t> While there's a nuanced stance on blockchain tech, the CBE has cautioned against and effectively restricted crypto trading and usage within the formal financial system.</w:t>
      </w:r>
    </w:p>
    <w:p w14:paraId="06463BD6" w14:textId="77777777" w:rsidR="00F84B03" w:rsidRPr="00F84B03" w:rsidRDefault="00F84B03" w:rsidP="001638A8">
      <w:pPr>
        <w:pStyle w:val="ng-star-inserted"/>
        <w:numPr>
          <w:ilvl w:val="1"/>
          <w:numId w:val="2"/>
        </w:numPr>
        <w:shd w:val="clear" w:color="auto" w:fill="FFFFFF"/>
        <w:tabs>
          <w:tab w:val="clear" w:pos="144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Nigeria:</w:t>
      </w:r>
      <w:r w:rsidRPr="00F84B03">
        <w:rPr>
          <w:rStyle w:val="ng-star-inserted1"/>
          <w:rFonts w:asciiTheme="minorHAnsi" w:eastAsiaTheme="majorEastAsia" w:hAnsiTheme="minorHAnsi" w:cs="Arial"/>
          <w:color w:val="2B2D31"/>
          <w:sz w:val="21"/>
          <w:szCs w:val="21"/>
        </w:rPr>
        <w:t> The central bank has prohibited financial institutions from facilitating crypto transactions. While not an outright ban on individuals, it severely limits usability.</w:t>
      </w:r>
    </w:p>
    <w:p w14:paraId="4F72350B" w14:textId="77777777" w:rsidR="00F84B03" w:rsidRPr="00F84B03" w:rsidRDefault="00F84B03" w:rsidP="001638A8">
      <w:pPr>
        <w:pStyle w:val="ng-star-inserted"/>
        <w:numPr>
          <w:ilvl w:val="1"/>
          <w:numId w:val="2"/>
        </w:numPr>
        <w:shd w:val="clear" w:color="auto" w:fill="FFFFFF"/>
        <w:tabs>
          <w:tab w:val="clear" w:pos="144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Ghana:</w:t>
      </w:r>
      <w:r w:rsidRPr="00F84B03">
        <w:rPr>
          <w:rStyle w:val="ng-star-inserted1"/>
          <w:rFonts w:asciiTheme="minorHAnsi" w:eastAsiaTheme="majorEastAsia" w:hAnsiTheme="minorHAnsi" w:cs="Arial"/>
          <w:color w:val="2B2D31"/>
          <w:sz w:val="21"/>
          <w:szCs w:val="21"/>
        </w:rPr>
        <w:t> Similar to Nigeria, financial institutions are restricted from dealing with crypto.</w:t>
      </w:r>
    </w:p>
    <w:p w14:paraId="6B69B897" w14:textId="77777777" w:rsidR="00F84B03" w:rsidRPr="00F84B03" w:rsidRDefault="00F84B03" w:rsidP="001638A8">
      <w:pPr>
        <w:pStyle w:val="ng-star-inserted"/>
        <w:numPr>
          <w:ilvl w:val="1"/>
          <w:numId w:val="2"/>
        </w:numPr>
        <w:shd w:val="clear" w:color="auto" w:fill="FFFFFF"/>
        <w:tabs>
          <w:tab w:val="clear" w:pos="144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Kenya:</w:t>
      </w:r>
      <w:r w:rsidRPr="00F84B03">
        <w:rPr>
          <w:rStyle w:val="ng-star-inserted1"/>
          <w:rFonts w:asciiTheme="minorHAnsi" w:eastAsiaTheme="majorEastAsia" w:hAnsiTheme="minorHAnsi" w:cs="Arial"/>
          <w:color w:val="2B2D31"/>
          <w:sz w:val="21"/>
          <w:szCs w:val="21"/>
        </w:rPr>
        <w:t> The central bank has issued warnings and restrictions against crypto.</w:t>
      </w:r>
    </w:p>
    <w:p w14:paraId="51DB71A4" w14:textId="77777777" w:rsidR="00F84B03" w:rsidRPr="00F84B03" w:rsidRDefault="00F84B03" w:rsidP="001638A8">
      <w:pPr>
        <w:pStyle w:val="ng-star-inserted"/>
        <w:numPr>
          <w:ilvl w:val="1"/>
          <w:numId w:val="2"/>
        </w:numPr>
        <w:shd w:val="clear" w:color="auto" w:fill="FFFFFF"/>
        <w:tabs>
          <w:tab w:val="clear" w:pos="144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Morocco:</w:t>
      </w:r>
      <w:r w:rsidRPr="00F84B03">
        <w:rPr>
          <w:rStyle w:val="ng-star-inserted1"/>
          <w:rFonts w:asciiTheme="minorHAnsi" w:eastAsiaTheme="majorEastAsia" w:hAnsiTheme="minorHAnsi" w:cs="Arial"/>
          <w:color w:val="2B2D31"/>
          <w:sz w:val="21"/>
          <w:szCs w:val="21"/>
        </w:rPr>
        <w:t> Has an explicit ban on cryptocurrencies.</w:t>
      </w:r>
    </w:p>
    <w:p w14:paraId="6AA372EC" w14:textId="77777777" w:rsidR="00F84B03" w:rsidRPr="00F84B03" w:rsidRDefault="00F84B03" w:rsidP="001638A8">
      <w:pPr>
        <w:pStyle w:val="ng-star-inserted"/>
        <w:numPr>
          <w:ilvl w:val="1"/>
          <w:numId w:val="2"/>
        </w:numPr>
        <w:shd w:val="clear" w:color="auto" w:fill="FFFFFF"/>
        <w:tabs>
          <w:tab w:val="clear" w:pos="144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Algeria:</w:t>
      </w:r>
      <w:r w:rsidRPr="00F84B03">
        <w:rPr>
          <w:rStyle w:val="ng-star-inserted1"/>
          <w:rFonts w:asciiTheme="minorHAnsi" w:eastAsiaTheme="majorEastAsia" w:hAnsiTheme="minorHAnsi" w:cs="Arial"/>
          <w:color w:val="2B2D31"/>
          <w:sz w:val="21"/>
          <w:szCs w:val="21"/>
        </w:rPr>
        <w:t> Also has an explicit ban.</w:t>
      </w:r>
    </w:p>
    <w:p w14:paraId="1B7CB97A" w14:textId="77777777" w:rsidR="00F84B03" w:rsidRPr="00F84B03" w:rsidRDefault="00F84B03" w:rsidP="00A33F74">
      <w:pPr>
        <w:pStyle w:val="ng-star-inserted"/>
        <w:numPr>
          <w:ilvl w:val="1"/>
          <w:numId w:val="2"/>
        </w:numPr>
        <w:shd w:val="clear" w:color="auto" w:fill="FFFFFF"/>
        <w:tabs>
          <w:tab w:val="clear" w:pos="1440"/>
        </w:tabs>
        <w:spacing w:before="0" w:beforeAutospacing="0" w:after="12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Uganda:</w:t>
      </w:r>
      <w:r w:rsidRPr="00F84B03">
        <w:rPr>
          <w:rStyle w:val="ng-star-inserted1"/>
          <w:rFonts w:asciiTheme="minorHAnsi" w:eastAsiaTheme="majorEastAsia" w:hAnsiTheme="minorHAnsi" w:cs="Arial"/>
          <w:color w:val="2B2D31"/>
          <w:sz w:val="21"/>
          <w:szCs w:val="21"/>
        </w:rPr>
        <w:t> While not an outright ban, severe warnings and a lack of regulatory framework make formal usage difficult.</w:t>
      </w:r>
    </w:p>
    <w:p w14:paraId="1AE44CD2" w14:textId="77777777" w:rsidR="00F84B03" w:rsidRPr="00F84B03" w:rsidRDefault="00F84B03" w:rsidP="00A33F74">
      <w:pPr>
        <w:pStyle w:val="ng-star-inserted"/>
        <w:numPr>
          <w:ilvl w:val="0"/>
          <w:numId w:val="2"/>
        </w:numPr>
        <w:shd w:val="clear" w:color="auto" w:fill="FFFFFF"/>
        <w:tabs>
          <w:tab w:val="clear" w:pos="720"/>
          <w:tab w:val="num" w:pos="360"/>
        </w:tabs>
        <w:spacing w:before="0" w:beforeAutospacing="0" w:after="120" w:afterAutospacing="0"/>
        <w:ind w:hanging="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Asia:</w:t>
      </w:r>
    </w:p>
    <w:p w14:paraId="4363E36A" w14:textId="77777777" w:rsidR="00F84B03" w:rsidRPr="00F84B03" w:rsidRDefault="00F84B03" w:rsidP="001638A8">
      <w:pPr>
        <w:pStyle w:val="ng-star-inserted"/>
        <w:numPr>
          <w:ilvl w:val="1"/>
          <w:numId w:val="2"/>
        </w:numPr>
        <w:shd w:val="clear" w:color="auto" w:fill="FFFFFF"/>
        <w:tabs>
          <w:tab w:val="clear" w:pos="1440"/>
          <w:tab w:val="left" w:pos="72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China (though technically an upper-middle-income country):</w:t>
      </w:r>
      <w:r w:rsidRPr="00F84B03">
        <w:rPr>
          <w:rStyle w:val="ng-star-inserted1"/>
          <w:rFonts w:asciiTheme="minorHAnsi" w:eastAsiaTheme="majorEastAsia" w:hAnsiTheme="minorHAnsi" w:cs="Arial"/>
          <w:color w:val="2B2D31"/>
          <w:sz w:val="21"/>
          <w:szCs w:val="21"/>
        </w:rPr>
        <w:t> Has imposed a near-total ban on crypto transactions and mining for financial institutions and individuals. This effectively includes stablecoins.</w:t>
      </w:r>
    </w:p>
    <w:p w14:paraId="6A182C27" w14:textId="77777777" w:rsidR="00F84B03" w:rsidRPr="00F84B03" w:rsidRDefault="00F84B03" w:rsidP="001638A8">
      <w:pPr>
        <w:pStyle w:val="ng-star-inserted"/>
        <w:numPr>
          <w:ilvl w:val="1"/>
          <w:numId w:val="2"/>
        </w:numPr>
        <w:shd w:val="clear" w:color="auto" w:fill="FFFFFF"/>
        <w:tabs>
          <w:tab w:val="clear" w:pos="1440"/>
          <w:tab w:val="left" w:pos="72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Indonesia:</w:t>
      </w:r>
      <w:r w:rsidRPr="00F84B03">
        <w:rPr>
          <w:rStyle w:val="ng-star-inserted1"/>
          <w:rFonts w:asciiTheme="minorHAnsi" w:eastAsiaTheme="majorEastAsia" w:hAnsiTheme="minorHAnsi" w:cs="Arial"/>
          <w:color w:val="2B2D31"/>
          <w:sz w:val="21"/>
          <w:szCs w:val="21"/>
        </w:rPr>
        <w:t> While crypto assets can be traded as commodities, they cannot be used as a means of payment, severely limiting stablecoin utility.</w:t>
      </w:r>
    </w:p>
    <w:p w14:paraId="3C62BB6B" w14:textId="77777777" w:rsidR="00F84B03" w:rsidRPr="00F84B03" w:rsidRDefault="00F84B03" w:rsidP="001638A8">
      <w:pPr>
        <w:pStyle w:val="ng-star-inserted"/>
        <w:numPr>
          <w:ilvl w:val="1"/>
          <w:numId w:val="2"/>
        </w:numPr>
        <w:shd w:val="clear" w:color="auto" w:fill="FFFFFF"/>
        <w:tabs>
          <w:tab w:val="clear" w:pos="1440"/>
          <w:tab w:val="left" w:pos="72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Bangladesh:</w:t>
      </w:r>
      <w:r w:rsidRPr="00F84B03">
        <w:rPr>
          <w:rStyle w:val="ng-star-inserted1"/>
          <w:rFonts w:asciiTheme="minorHAnsi" w:eastAsiaTheme="majorEastAsia" w:hAnsiTheme="minorHAnsi" w:cs="Arial"/>
          <w:color w:val="2B2D31"/>
          <w:sz w:val="21"/>
          <w:szCs w:val="21"/>
        </w:rPr>
        <w:t> Strong restrictions and warnings against crypto.</w:t>
      </w:r>
    </w:p>
    <w:p w14:paraId="32BCDD40" w14:textId="77777777" w:rsidR="00F84B03" w:rsidRPr="00F84B03" w:rsidRDefault="00F84B03" w:rsidP="001638A8">
      <w:pPr>
        <w:pStyle w:val="ng-star-inserted"/>
        <w:numPr>
          <w:ilvl w:val="1"/>
          <w:numId w:val="2"/>
        </w:numPr>
        <w:shd w:val="clear" w:color="auto" w:fill="FFFFFF"/>
        <w:tabs>
          <w:tab w:val="clear" w:pos="1440"/>
          <w:tab w:val="left" w:pos="72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Vietnam:</w:t>
      </w:r>
      <w:r w:rsidRPr="00F84B03">
        <w:rPr>
          <w:rStyle w:val="ng-star-inserted1"/>
          <w:rFonts w:asciiTheme="minorHAnsi" w:eastAsiaTheme="majorEastAsia" w:hAnsiTheme="minorHAnsi" w:cs="Arial"/>
          <w:color w:val="2B2D31"/>
          <w:sz w:val="21"/>
          <w:szCs w:val="21"/>
        </w:rPr>
        <w:t> Cryptocurrencies are not recognized as a legal tender or a legal payment instrument.</w:t>
      </w:r>
    </w:p>
    <w:p w14:paraId="1280B0E0" w14:textId="77777777" w:rsidR="00F84B03" w:rsidRPr="00F84B03" w:rsidRDefault="00F84B03" w:rsidP="001638A8">
      <w:pPr>
        <w:pStyle w:val="ng-star-inserted"/>
        <w:numPr>
          <w:ilvl w:val="1"/>
          <w:numId w:val="2"/>
        </w:numPr>
        <w:shd w:val="clear" w:color="auto" w:fill="FFFFFF"/>
        <w:tabs>
          <w:tab w:val="clear" w:pos="1440"/>
          <w:tab w:val="left" w:pos="72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Pakistan:</w:t>
      </w:r>
      <w:r w:rsidRPr="00F84B03">
        <w:rPr>
          <w:rStyle w:val="ng-star-inserted1"/>
          <w:rFonts w:asciiTheme="minorHAnsi" w:eastAsiaTheme="majorEastAsia" w:hAnsiTheme="minorHAnsi" w:cs="Arial"/>
          <w:color w:val="2B2D31"/>
          <w:sz w:val="21"/>
          <w:szCs w:val="21"/>
        </w:rPr>
        <w:t> While the situation is evolving, there have been significant moves towards banning or heavily restricting crypto by financial institutions.</w:t>
      </w:r>
    </w:p>
    <w:p w14:paraId="6E0E45EF" w14:textId="77777777" w:rsidR="00F84B03" w:rsidRPr="00F84B03" w:rsidRDefault="00F84B03" w:rsidP="00A33F74">
      <w:pPr>
        <w:pStyle w:val="ng-star-inserted"/>
        <w:numPr>
          <w:ilvl w:val="1"/>
          <w:numId w:val="2"/>
        </w:numPr>
        <w:shd w:val="clear" w:color="auto" w:fill="FFFFFF"/>
        <w:tabs>
          <w:tab w:val="clear" w:pos="1440"/>
          <w:tab w:val="left" w:pos="720"/>
        </w:tabs>
        <w:spacing w:before="0" w:beforeAutospacing="0" w:after="120" w:afterAutospacing="0"/>
        <w:ind w:left="720"/>
        <w:rPr>
          <w:rStyle w:val="ng-star-inserted1"/>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Nepal:</w:t>
      </w:r>
      <w:r w:rsidRPr="00F84B03">
        <w:rPr>
          <w:rStyle w:val="ng-star-inserted1"/>
          <w:rFonts w:asciiTheme="minorHAnsi" w:eastAsiaTheme="majorEastAsia" w:hAnsiTheme="minorHAnsi" w:cs="Arial"/>
          <w:color w:val="2B2D31"/>
          <w:sz w:val="21"/>
          <w:szCs w:val="21"/>
        </w:rPr>
        <w:t> Explicit ban on cryptocurrencies.</w:t>
      </w:r>
    </w:p>
    <w:p w14:paraId="6A8948FD" w14:textId="77777777" w:rsidR="00F84B03" w:rsidRPr="00F84B03" w:rsidRDefault="00F84B03" w:rsidP="00A33F74">
      <w:pPr>
        <w:pStyle w:val="ng-star-inserted"/>
        <w:shd w:val="clear" w:color="auto" w:fill="FFFFFF"/>
        <w:tabs>
          <w:tab w:val="left" w:pos="720"/>
        </w:tabs>
        <w:spacing w:before="0" w:beforeAutospacing="0" w:after="120" w:afterAutospacing="0"/>
        <w:ind w:left="720" w:hanging="360"/>
        <w:rPr>
          <w:rFonts w:asciiTheme="minorHAnsi" w:hAnsiTheme="minorHAnsi" w:cs="Arial"/>
          <w:color w:val="2B2D31"/>
          <w:sz w:val="21"/>
          <w:szCs w:val="21"/>
        </w:rPr>
      </w:pPr>
    </w:p>
    <w:p w14:paraId="349DC362" w14:textId="77777777" w:rsidR="00F84B03" w:rsidRPr="00F84B03" w:rsidRDefault="00F84B03" w:rsidP="00A33F74">
      <w:pPr>
        <w:pStyle w:val="ng-star-inserted"/>
        <w:numPr>
          <w:ilvl w:val="0"/>
          <w:numId w:val="2"/>
        </w:numPr>
        <w:shd w:val="clear" w:color="auto" w:fill="FFFFFF"/>
        <w:tabs>
          <w:tab w:val="clear" w:pos="720"/>
          <w:tab w:val="left" w:pos="360"/>
        </w:tabs>
        <w:spacing w:before="0" w:beforeAutospacing="0" w:after="120" w:afterAutospacing="0"/>
        <w:ind w:hanging="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Latin America:</w:t>
      </w:r>
    </w:p>
    <w:p w14:paraId="235D4D43" w14:textId="77777777" w:rsidR="00F84B03" w:rsidRPr="00F84B03" w:rsidRDefault="00F84B03" w:rsidP="001638A8">
      <w:pPr>
        <w:pStyle w:val="ng-star-inserted"/>
        <w:numPr>
          <w:ilvl w:val="1"/>
          <w:numId w:val="2"/>
        </w:numPr>
        <w:shd w:val="clear" w:color="auto" w:fill="FFFFFF"/>
        <w:tabs>
          <w:tab w:val="clear" w:pos="1440"/>
          <w:tab w:val="num" w:pos="540"/>
        </w:tabs>
        <w:spacing w:before="0" w:beforeAutospacing="0" w:after="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Bolivia:</w:t>
      </w:r>
      <w:r w:rsidRPr="00F84B03">
        <w:rPr>
          <w:rStyle w:val="ng-star-inserted1"/>
          <w:rFonts w:asciiTheme="minorHAnsi" w:eastAsiaTheme="majorEastAsia" w:hAnsiTheme="minorHAnsi" w:cs="Arial"/>
          <w:color w:val="2B2D31"/>
          <w:sz w:val="21"/>
          <w:szCs w:val="21"/>
        </w:rPr>
        <w:t> Explicit ban on cryptocurrencies.</w:t>
      </w:r>
    </w:p>
    <w:p w14:paraId="4D69C1D4" w14:textId="77777777" w:rsidR="00F84B03" w:rsidRPr="00F84B03" w:rsidRDefault="00F84B03" w:rsidP="001638A8">
      <w:pPr>
        <w:pStyle w:val="ng-star-inserted"/>
        <w:numPr>
          <w:ilvl w:val="1"/>
          <w:numId w:val="2"/>
        </w:numPr>
        <w:shd w:val="clear" w:color="auto" w:fill="FFFFFF"/>
        <w:tabs>
          <w:tab w:val="clear" w:pos="1440"/>
          <w:tab w:val="num" w:pos="540"/>
        </w:tabs>
        <w:spacing w:before="0" w:beforeAutospacing="0" w:after="120" w:afterAutospacing="0"/>
        <w:ind w:left="72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Ecuador:</w:t>
      </w:r>
      <w:r w:rsidRPr="00F84B03">
        <w:rPr>
          <w:rStyle w:val="ng-star-inserted1"/>
          <w:rFonts w:asciiTheme="minorHAnsi" w:eastAsiaTheme="majorEastAsia" w:hAnsiTheme="minorHAnsi" w:cs="Arial"/>
          <w:color w:val="2B2D31"/>
          <w:sz w:val="21"/>
          <w:szCs w:val="21"/>
        </w:rPr>
        <w:t> While the situation has seen some shifts, there have been periods of strong restriction and attempts to introduce state-backed digital currency as an alternative.</w:t>
      </w:r>
    </w:p>
    <w:p w14:paraId="6D3DCE96" w14:textId="77777777"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Countries with Ambiguous or Undeveloped Frameworks (leading to de facto restriction):</w:t>
      </w:r>
    </w:p>
    <w:p w14:paraId="772B31E5" w14:textId="77777777"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color w:val="2B2D31"/>
          <w:sz w:val="21"/>
          <w:szCs w:val="21"/>
        </w:rPr>
        <w:t>Many other LMICs simply lack a clear regulatory framework, which means stablecoins cannot legally be used within the formal financial system, for tax purposes, or for widespread commercial transactions. This makes their "usage" effectively restricted, even without an explicit ban. Examples here can include many countries across Africa, parts of Asia, and Latin America where regulatory bodies are still studying the issue.</w:t>
      </w:r>
    </w:p>
    <w:p w14:paraId="4F26237D" w14:textId="77777777"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Important Caveats:</w:t>
      </w:r>
    </w:p>
    <w:p w14:paraId="052C51A6" w14:textId="77777777" w:rsidR="00F84B03" w:rsidRPr="00F84B03" w:rsidRDefault="00F84B03" w:rsidP="001638A8">
      <w:pPr>
        <w:pStyle w:val="ng-star-inserted"/>
        <w:numPr>
          <w:ilvl w:val="0"/>
          <w:numId w:val="3"/>
        </w:numPr>
        <w:shd w:val="clear" w:color="auto" w:fill="FFFFFF"/>
        <w:spacing w:before="0" w:beforeAutospacing="0" w:after="0" w:afterAutospacing="0"/>
        <w:ind w:left="734" w:hanging="547"/>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Enforcement Varies:</w:t>
      </w:r>
      <w:r w:rsidRPr="00F84B03">
        <w:rPr>
          <w:rStyle w:val="ng-star-inserted1"/>
          <w:rFonts w:asciiTheme="minorHAnsi" w:eastAsiaTheme="majorEastAsia" w:hAnsiTheme="minorHAnsi" w:cs="Arial"/>
          <w:color w:val="2B2D31"/>
          <w:sz w:val="21"/>
          <w:szCs w:val="21"/>
        </w:rPr>
        <w:t> Even with bans, peer-to-peer trading and informal usage can occur, though it carries significant risks.</w:t>
      </w:r>
    </w:p>
    <w:p w14:paraId="1044FB9D" w14:textId="77777777" w:rsidR="00F84B03" w:rsidRPr="00F84B03" w:rsidRDefault="00F84B03" w:rsidP="001638A8">
      <w:pPr>
        <w:pStyle w:val="ng-star-inserted"/>
        <w:numPr>
          <w:ilvl w:val="0"/>
          <w:numId w:val="3"/>
        </w:numPr>
        <w:shd w:val="clear" w:color="auto" w:fill="FFFFFF"/>
        <w:spacing w:before="0" w:beforeAutospacing="0" w:after="0" w:afterAutospacing="0"/>
        <w:ind w:left="734" w:hanging="547"/>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Focus on Payments:</w:t>
      </w:r>
      <w:r w:rsidRPr="00F84B03">
        <w:rPr>
          <w:rStyle w:val="ng-star-inserted1"/>
          <w:rFonts w:asciiTheme="minorHAnsi" w:eastAsiaTheme="majorEastAsia" w:hAnsiTheme="minorHAnsi" w:cs="Arial"/>
          <w:color w:val="2B2D31"/>
          <w:sz w:val="21"/>
          <w:szCs w:val="21"/>
        </w:rPr>
        <w:t> Most restrictions tend to focus on crypto as a </w:t>
      </w:r>
      <w:r w:rsidRPr="00F84B03">
        <w:rPr>
          <w:rStyle w:val="ng-star-inserted1"/>
          <w:rFonts w:asciiTheme="minorHAnsi" w:eastAsiaTheme="majorEastAsia" w:hAnsiTheme="minorHAnsi" w:cs="Arial"/>
          <w:i/>
          <w:iCs/>
          <w:color w:val="2B2D31"/>
          <w:sz w:val="21"/>
          <w:szCs w:val="21"/>
        </w:rPr>
        <w:t>means of payment</w:t>
      </w:r>
      <w:r w:rsidRPr="00F84B03">
        <w:rPr>
          <w:rStyle w:val="ng-star-inserted1"/>
          <w:rFonts w:asciiTheme="minorHAnsi" w:eastAsiaTheme="majorEastAsia" w:hAnsiTheme="minorHAnsi" w:cs="Arial"/>
          <w:color w:val="2B2D31"/>
          <w:sz w:val="21"/>
          <w:szCs w:val="21"/>
        </w:rPr>
        <w:t> or its interaction with the formal banking system, rather than necessarily prohibiting ownership as an asset (though some do). This is particularly relevant for stablecoins, whose primary utility is often payment or a store of value.</w:t>
      </w:r>
    </w:p>
    <w:p w14:paraId="41757340" w14:textId="50E7F968" w:rsidR="00F84B03" w:rsidRPr="00F84B03" w:rsidRDefault="00F84B03" w:rsidP="00F84B03">
      <w:pPr>
        <w:pStyle w:val="ng-star-inserted"/>
        <w:numPr>
          <w:ilvl w:val="0"/>
          <w:numId w:val="3"/>
        </w:numPr>
        <w:shd w:val="clear" w:color="auto" w:fill="FFFFFF"/>
        <w:spacing w:before="0" w:beforeAutospacing="0" w:after="120" w:afterAutospacing="0"/>
        <w:ind w:hanging="540"/>
        <w:rPr>
          <w:rFonts w:asciiTheme="minorHAnsi" w:hAnsiTheme="minorHAnsi" w:cs="Arial"/>
          <w:color w:val="2B2D31"/>
          <w:sz w:val="21"/>
          <w:szCs w:val="21"/>
        </w:rPr>
      </w:pPr>
      <w:r w:rsidRPr="00F84B03">
        <w:rPr>
          <w:rStyle w:val="ng-star-inserted1"/>
          <w:rFonts w:asciiTheme="minorHAnsi" w:eastAsiaTheme="majorEastAsia" w:hAnsiTheme="minorHAnsi" w:cs="Arial"/>
          <w:b/>
          <w:bCs/>
          <w:color w:val="2B2D31"/>
          <w:sz w:val="21"/>
          <w:szCs w:val="21"/>
        </w:rPr>
        <w:t>CBDC Development:</w:t>
      </w:r>
      <w:r w:rsidRPr="00F84B03">
        <w:rPr>
          <w:rStyle w:val="ng-star-inserted1"/>
          <w:rFonts w:asciiTheme="minorHAnsi" w:eastAsiaTheme="majorEastAsia" w:hAnsiTheme="minorHAnsi" w:cs="Arial"/>
          <w:color w:val="2B2D31"/>
          <w:sz w:val="21"/>
          <w:szCs w:val="21"/>
        </w:rPr>
        <w:t> Some LMICs are exploring or developing their own Central Bank Digital Currencies (CBDCs), which often come with a desire to control the digital currency landscape and potentially restrict private stablecoins.</w:t>
      </w:r>
    </w:p>
    <w:p w14:paraId="51D34773" w14:textId="77777777"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color w:val="2B2D31"/>
          <w:sz w:val="21"/>
          <w:szCs w:val="21"/>
        </w:rPr>
        <w:t>Given the fluidity of regulations, it's always best to consult the most recent official statements from a country's central bank and financial regulators for the most accurate information.</w:t>
      </w:r>
    </w:p>
    <w:p w14:paraId="3168E184" w14:textId="77777777" w:rsidR="00F84B03" w:rsidRPr="00F84B03" w:rsidRDefault="00F84B03" w:rsidP="00F84B03">
      <w:pPr>
        <w:pStyle w:val="ng-star-inserted"/>
        <w:shd w:val="clear" w:color="auto" w:fill="FFFFFF"/>
        <w:spacing w:before="0" w:beforeAutospacing="0" w:after="120" w:afterAutospacing="0"/>
        <w:rPr>
          <w:rFonts w:asciiTheme="minorHAnsi" w:hAnsiTheme="minorHAnsi" w:cs="Arial"/>
          <w:color w:val="2B2D31"/>
          <w:sz w:val="21"/>
          <w:szCs w:val="21"/>
        </w:rPr>
      </w:pPr>
      <w:r w:rsidRPr="00F84B03">
        <w:rPr>
          <w:rStyle w:val="ng-star-inserted1"/>
          <w:rFonts w:asciiTheme="minorHAnsi" w:eastAsiaTheme="majorEastAsia" w:hAnsiTheme="minorHAnsi" w:cs="Arial"/>
          <w:color w:val="2B2D31"/>
          <w:sz w:val="21"/>
          <w:szCs w:val="21"/>
        </w:rPr>
        <w:t>Here's an illustrative map, using muted colors for countries, with certain regions highlighted in a subtle red overlay to visually represent areas where cryptocurrency (including stablecoin) usage is typically restricted or highly regulated.</w:t>
      </w:r>
    </w:p>
    <w:p w14:paraId="0D3B84FC" w14:textId="77777777" w:rsidR="00A03483" w:rsidRDefault="00A03483" w:rsidP="001638A8">
      <w:pPr>
        <w:spacing w:after="0" w:line="240" w:lineRule="auto"/>
      </w:pPr>
    </w:p>
    <w:p w14:paraId="4F45249D" w14:textId="77777777" w:rsidR="00965070" w:rsidRPr="00965070" w:rsidRDefault="00965070" w:rsidP="00965070">
      <w:pPr>
        <w:shd w:val="clear" w:color="auto" w:fill="FFFFFF"/>
        <w:spacing w:after="120" w:line="240" w:lineRule="auto"/>
        <w:rPr>
          <w:rFonts w:eastAsia="Times New Roman" w:cs="Arial"/>
          <w:color w:val="2B2D31"/>
          <w:kern w:val="0"/>
          <w:sz w:val="21"/>
          <w:szCs w:val="21"/>
          <w14:ligatures w14:val="none"/>
        </w:rPr>
      </w:pPr>
      <w:r w:rsidRPr="00965070">
        <w:rPr>
          <w:rFonts w:eastAsia="Times New Roman" w:cs="Arial"/>
          <w:color w:val="2B2D31"/>
          <w:kern w:val="0"/>
          <w:sz w:val="21"/>
          <w:szCs w:val="21"/>
          <w14:ligatures w14:val="none"/>
        </w:rPr>
        <w:t>Enticing Low and Lower-Middle Income Country (LLMIC) Central Banks to cooperate with a private entity like GSXC to issue their own currency stablecoins requires a multi-faceted approach that addresses their primary concerns and offers compelling, tangible benefits. The key is to position GSXC not as a competitor, but as a secure, compliant, and beneficial technology partner that can help them achieve their national financial goals.</w:t>
      </w:r>
    </w:p>
    <w:p w14:paraId="0B5BD57A" w14:textId="77777777" w:rsidR="00C17D09" w:rsidRDefault="00C17D09" w:rsidP="00965070">
      <w:pPr>
        <w:shd w:val="clear" w:color="auto" w:fill="FFFFFF"/>
        <w:spacing w:after="120" w:line="240" w:lineRule="auto"/>
        <w:rPr>
          <w:rFonts w:eastAsia="Times New Roman" w:cs="Arial"/>
          <w:color w:val="2B2D31"/>
          <w:kern w:val="0"/>
          <w:sz w:val="22"/>
          <w:szCs w:val="22"/>
          <w14:ligatures w14:val="none"/>
        </w:rPr>
      </w:pPr>
    </w:p>
    <w:p w14:paraId="2A9A7780" w14:textId="57425C48" w:rsidR="00965070" w:rsidRPr="00965070" w:rsidRDefault="00965070" w:rsidP="00965070">
      <w:pPr>
        <w:shd w:val="clear" w:color="auto" w:fill="FFFFFF"/>
        <w:spacing w:after="120" w:line="240" w:lineRule="auto"/>
        <w:rPr>
          <w:rFonts w:eastAsia="Times New Roman" w:cs="Arial"/>
          <w:color w:val="2B2D31"/>
          <w:kern w:val="0"/>
          <w:sz w:val="22"/>
          <w:szCs w:val="22"/>
          <w14:ligatures w14:val="none"/>
        </w:rPr>
      </w:pPr>
      <w:r w:rsidRPr="00965070">
        <w:rPr>
          <w:rFonts w:eastAsia="Times New Roman" w:cs="Arial"/>
          <w:color w:val="2B2D31"/>
          <w:kern w:val="0"/>
          <w:sz w:val="22"/>
          <w:szCs w:val="22"/>
          <w14:ligatures w14:val="none"/>
        </w:rPr>
        <w:t>Here’s a breakdown of strategies:</w:t>
      </w:r>
    </w:p>
    <w:p w14:paraId="02E72286" w14:textId="77777777" w:rsidR="00965070" w:rsidRPr="00965070" w:rsidRDefault="00965070" w:rsidP="00965070">
      <w:pPr>
        <w:shd w:val="clear" w:color="auto" w:fill="FFFFFF"/>
        <w:spacing w:after="120" w:line="240" w:lineRule="auto"/>
        <w:outlineLvl w:val="2"/>
        <w:rPr>
          <w:rFonts w:eastAsia="Times New Roman" w:cs="Arial"/>
          <w:b/>
          <w:bCs/>
          <w:color w:val="2B2D31"/>
          <w:kern w:val="0"/>
          <w:sz w:val="22"/>
          <w:szCs w:val="22"/>
          <w14:ligatures w14:val="none"/>
        </w:rPr>
      </w:pPr>
      <w:r w:rsidRPr="00965070">
        <w:rPr>
          <w:rFonts w:eastAsia="Times New Roman" w:cs="Arial"/>
          <w:b/>
          <w:bCs/>
          <w:color w:val="2B2D31"/>
          <w:kern w:val="0"/>
          <w:sz w:val="22"/>
          <w:szCs w:val="22"/>
          <w14:ligatures w14:val="none"/>
        </w:rPr>
        <w:t>1. Address Core Central Bank Concerns Head-On:</w:t>
      </w:r>
    </w:p>
    <w:p w14:paraId="78242AEB" w14:textId="77777777" w:rsidR="00965070" w:rsidRPr="00965070" w:rsidRDefault="00965070" w:rsidP="00A33F74">
      <w:pPr>
        <w:numPr>
          <w:ilvl w:val="0"/>
          <w:numId w:val="4"/>
        </w:numPr>
        <w:shd w:val="clear" w:color="auto" w:fill="FFFFFF"/>
        <w:tabs>
          <w:tab w:val="clear" w:pos="72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Financial Stability &amp; Monetary Sovereignty:</w:t>
      </w:r>
    </w:p>
    <w:p w14:paraId="1E8F7B14" w14:textId="77777777" w:rsidR="00965070" w:rsidRPr="00965070" w:rsidRDefault="00965070" w:rsidP="001638A8">
      <w:pPr>
        <w:numPr>
          <w:ilvl w:val="1"/>
          <w:numId w:val="4"/>
        </w:numPr>
        <w:shd w:val="clear" w:color="auto" w:fill="FFFFFF"/>
        <w:tabs>
          <w:tab w:val="clear" w:pos="1440"/>
          <w:tab w:val="num" w:pos="450"/>
        </w:tabs>
        <w:spacing w:after="0" w:line="240" w:lineRule="auto"/>
        <w:ind w:left="720" w:hanging="274"/>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Emphasize that GSXC's proposed model is </w:t>
      </w:r>
      <w:r w:rsidRPr="00965070">
        <w:rPr>
          <w:rFonts w:eastAsia="Times New Roman" w:cs="Arial"/>
          <w:i/>
          <w:iCs/>
          <w:color w:val="2B2D31"/>
          <w:kern w:val="0"/>
          <w:sz w:val="22"/>
          <w:szCs w:val="22"/>
          <w14:ligatures w14:val="none"/>
        </w:rPr>
        <w:t>not</w:t>
      </w:r>
      <w:r w:rsidRPr="00965070">
        <w:rPr>
          <w:rFonts w:eastAsia="Times New Roman" w:cs="Arial"/>
          <w:color w:val="2B2D31"/>
          <w:kern w:val="0"/>
          <w:sz w:val="22"/>
          <w:szCs w:val="22"/>
          <w14:ligatures w14:val="none"/>
        </w:rPr>
        <w:t> to replace the national currency but to create a digital representation that </w:t>
      </w:r>
      <w:r w:rsidRPr="00965070">
        <w:rPr>
          <w:rFonts w:eastAsia="Times New Roman" w:cs="Arial"/>
          <w:i/>
          <w:iCs/>
          <w:color w:val="2B2D31"/>
          <w:kern w:val="0"/>
          <w:sz w:val="22"/>
          <w:szCs w:val="22"/>
          <w14:ligatures w14:val="none"/>
        </w:rPr>
        <w:t>strengthens</w:t>
      </w:r>
      <w:r w:rsidRPr="00965070">
        <w:rPr>
          <w:rFonts w:eastAsia="Times New Roman" w:cs="Arial"/>
          <w:color w:val="2B2D31"/>
          <w:kern w:val="0"/>
          <w:sz w:val="22"/>
          <w:szCs w:val="22"/>
          <w14:ligatures w14:val="none"/>
        </w:rPr>
        <w:t> it. The stablecoin would be 1:1 backed by their national currency reserves, held securely and transparently, likely within the central bank itself or a highly regulated commercial bank.</w:t>
      </w:r>
    </w:p>
    <w:p w14:paraId="0171627F" w14:textId="3FF178AF" w:rsidR="00965070" w:rsidRPr="00965070" w:rsidRDefault="00965070" w:rsidP="00C17D09">
      <w:pPr>
        <w:numPr>
          <w:ilvl w:val="1"/>
          <w:numId w:val="4"/>
        </w:numPr>
        <w:shd w:val="clear" w:color="auto" w:fill="FFFFFF"/>
        <w:tabs>
          <w:tab w:val="clear" w:pos="1440"/>
          <w:tab w:val="num" w:pos="45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Mechanism:</w:t>
      </w:r>
      <w:r w:rsidRPr="00965070">
        <w:rPr>
          <w:rFonts w:eastAsia="Times New Roman" w:cs="Arial"/>
          <w:color w:val="2B2D31"/>
          <w:kern w:val="0"/>
          <w:sz w:val="22"/>
          <w:szCs w:val="22"/>
          <w14:ligatures w14:val="none"/>
        </w:rPr>
        <w:t> Propose a direct partnership model where the Central Bank retains full control over issuance, redemption, and monetary policy. GSXC provides technological infrastructure and operational expertise.</w:t>
      </w:r>
    </w:p>
    <w:p w14:paraId="75DC4666" w14:textId="77777777" w:rsidR="00965070" w:rsidRPr="00965070" w:rsidRDefault="00965070" w:rsidP="00C17D09">
      <w:pPr>
        <w:numPr>
          <w:ilvl w:val="0"/>
          <w:numId w:val="4"/>
        </w:numPr>
        <w:shd w:val="clear" w:color="auto" w:fill="FFFFFF"/>
        <w:tabs>
          <w:tab w:val="clear" w:pos="720"/>
          <w:tab w:val="num" w:pos="360"/>
        </w:tabs>
        <w:spacing w:after="120" w:line="240" w:lineRule="auto"/>
        <w:ind w:left="630" w:hanging="45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lastRenderedPageBreak/>
        <w:t>Regulatory &amp; Compliance:</w:t>
      </w:r>
    </w:p>
    <w:p w14:paraId="1E85B3F7" w14:textId="77777777" w:rsidR="00965070" w:rsidRPr="00965070" w:rsidRDefault="00965070" w:rsidP="001638A8">
      <w:pPr>
        <w:numPr>
          <w:ilvl w:val="1"/>
          <w:numId w:val="4"/>
        </w:numPr>
        <w:shd w:val="clear" w:color="auto" w:fill="FFFFFF"/>
        <w:tabs>
          <w:tab w:val="clear" w:pos="1440"/>
          <w:tab w:val="num" w:pos="630"/>
        </w:tabs>
        <w:spacing w:after="0" w:line="240" w:lineRule="auto"/>
        <w:ind w:left="634" w:hanging="274"/>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Highlight GSXC's commitment to stringent AML/KYC, CFT, and data privacy standards, tailored to meet and exceed local and international requirements.</w:t>
      </w:r>
    </w:p>
    <w:p w14:paraId="0A55C1F5" w14:textId="77777777" w:rsidR="00965070" w:rsidRPr="00965070" w:rsidRDefault="00965070" w:rsidP="00C0625C">
      <w:pPr>
        <w:numPr>
          <w:ilvl w:val="1"/>
          <w:numId w:val="4"/>
        </w:numPr>
        <w:shd w:val="clear" w:color="auto" w:fill="FFFFFF"/>
        <w:tabs>
          <w:tab w:val="clear" w:pos="1440"/>
          <w:tab w:val="num"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Mechanism:</w:t>
      </w:r>
      <w:r w:rsidRPr="00965070">
        <w:rPr>
          <w:rFonts w:eastAsia="Times New Roman" w:cs="Arial"/>
          <w:color w:val="2B2D31"/>
          <w:kern w:val="0"/>
          <w:sz w:val="22"/>
          <w:szCs w:val="22"/>
          <w14:ligatures w14:val="none"/>
        </w:rPr>
        <w:t> Offer to collaborate closely with central bank legal and compliance teams from day one to co-design a regulatory-compliant framework. Position GSXC as a leader in "regulated DeFi" or "compliant digital assets."</w:t>
      </w:r>
    </w:p>
    <w:p w14:paraId="16FE8276" w14:textId="77777777" w:rsidR="00965070" w:rsidRPr="00965070" w:rsidRDefault="00965070" w:rsidP="00A33F74">
      <w:pPr>
        <w:numPr>
          <w:ilvl w:val="0"/>
          <w:numId w:val="4"/>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Risk Management (Cybersecurity, Operational):</w:t>
      </w:r>
    </w:p>
    <w:p w14:paraId="3CDFB405" w14:textId="77777777" w:rsidR="00965070" w:rsidRPr="00965070" w:rsidRDefault="00965070" w:rsidP="001638A8">
      <w:pPr>
        <w:numPr>
          <w:ilvl w:val="1"/>
          <w:numId w:val="4"/>
        </w:numPr>
        <w:shd w:val="clear" w:color="auto" w:fill="FFFFFF"/>
        <w:tabs>
          <w:tab w:val="clear" w:pos="1440"/>
          <w:tab w:val="num" w:pos="630"/>
        </w:tabs>
        <w:spacing w:after="0" w:line="240" w:lineRule="auto"/>
        <w:ind w:left="634" w:hanging="274"/>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Showcase GSXC's robust security architecture, audit trails, and proven track record in managing digital asset platforms.</w:t>
      </w:r>
    </w:p>
    <w:p w14:paraId="6D0A04C5" w14:textId="77777777" w:rsidR="00965070" w:rsidRPr="00965070" w:rsidRDefault="00965070" w:rsidP="00C0625C">
      <w:pPr>
        <w:numPr>
          <w:ilvl w:val="1"/>
          <w:numId w:val="4"/>
        </w:numPr>
        <w:shd w:val="clear" w:color="auto" w:fill="FFFFFF"/>
        <w:tabs>
          <w:tab w:val="clear" w:pos="1440"/>
          <w:tab w:val="num" w:pos="450"/>
          <w:tab w:val="num"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Mechanism:</w:t>
      </w:r>
      <w:r w:rsidRPr="00965070">
        <w:rPr>
          <w:rFonts w:eastAsia="Times New Roman" w:cs="Arial"/>
          <w:color w:val="2B2D31"/>
          <w:kern w:val="0"/>
          <w:sz w:val="22"/>
          <w:szCs w:val="22"/>
          <w14:ligatures w14:val="none"/>
        </w:rPr>
        <w:t> Offer independent security audits, penetration testing, and transparent reporting on operational resilience. Share expertise in best practices for digital asset security.</w:t>
      </w:r>
    </w:p>
    <w:p w14:paraId="3465FB6B" w14:textId="77777777" w:rsidR="00965070" w:rsidRPr="00965070" w:rsidRDefault="00965070" w:rsidP="00A33F74">
      <w:pPr>
        <w:numPr>
          <w:ilvl w:val="0"/>
          <w:numId w:val="4"/>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Capital Controls &amp; Illicit Finance:</w:t>
      </w:r>
    </w:p>
    <w:p w14:paraId="476B0978" w14:textId="77777777" w:rsidR="00965070" w:rsidRPr="00965070" w:rsidRDefault="00965070" w:rsidP="001638A8">
      <w:pPr>
        <w:numPr>
          <w:ilvl w:val="1"/>
          <w:numId w:val="4"/>
        </w:numPr>
        <w:shd w:val="clear" w:color="auto" w:fill="FFFFFF"/>
        <w:tabs>
          <w:tab w:val="clear" w:pos="1440"/>
          <w:tab w:val="num" w:pos="450"/>
          <w:tab w:val="num" w:pos="630"/>
        </w:tabs>
        <w:spacing w:after="0" w:line="240" w:lineRule="auto"/>
        <w:ind w:left="634" w:hanging="274"/>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Argue that a well-regulated, central-bank-approved stablecoin can actually </w:t>
      </w:r>
      <w:r w:rsidRPr="00965070">
        <w:rPr>
          <w:rFonts w:eastAsia="Times New Roman" w:cs="Arial"/>
          <w:i/>
          <w:iCs/>
          <w:color w:val="2B2D31"/>
          <w:kern w:val="0"/>
          <w:sz w:val="22"/>
          <w:szCs w:val="22"/>
          <w14:ligatures w14:val="none"/>
        </w:rPr>
        <w:t>improve</w:t>
      </w:r>
      <w:r w:rsidRPr="00965070">
        <w:rPr>
          <w:rFonts w:eastAsia="Times New Roman" w:cs="Arial"/>
          <w:color w:val="2B2D31"/>
          <w:kern w:val="0"/>
          <w:sz w:val="22"/>
          <w:szCs w:val="22"/>
          <w14:ligatures w14:val="none"/>
        </w:rPr>
        <w:t> oversight of capital flows compared to informal channels or unregulated cryptocurrencies.</w:t>
      </w:r>
    </w:p>
    <w:p w14:paraId="70571303" w14:textId="77777777" w:rsidR="00965070" w:rsidRPr="00965070" w:rsidRDefault="00965070" w:rsidP="00C0625C">
      <w:pPr>
        <w:numPr>
          <w:ilvl w:val="1"/>
          <w:numId w:val="4"/>
        </w:numPr>
        <w:shd w:val="clear" w:color="auto" w:fill="FFFFFF"/>
        <w:tabs>
          <w:tab w:val="clear" w:pos="1440"/>
          <w:tab w:val="num" w:pos="450"/>
          <w:tab w:val="num"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Mechanism:</w:t>
      </w:r>
      <w:r w:rsidRPr="00965070">
        <w:rPr>
          <w:rFonts w:eastAsia="Times New Roman" w:cs="Arial"/>
          <w:color w:val="2B2D31"/>
          <w:kern w:val="0"/>
          <w:sz w:val="22"/>
          <w:szCs w:val="22"/>
          <w14:ligatures w14:val="none"/>
        </w:rPr>
        <w:t> Propose mechanisms for real-time monitoring and reporting to the central bank, enabling better detection and prevention of illicit activities.</w:t>
      </w:r>
    </w:p>
    <w:p w14:paraId="578152CC" w14:textId="77777777" w:rsidR="00965070" w:rsidRPr="00965070" w:rsidRDefault="00965070" w:rsidP="00A33F74">
      <w:pPr>
        <w:shd w:val="clear" w:color="auto" w:fill="FFFFFF"/>
        <w:tabs>
          <w:tab w:val="num" w:pos="360"/>
          <w:tab w:val="num" w:pos="450"/>
        </w:tabs>
        <w:spacing w:after="120" w:line="240" w:lineRule="auto"/>
        <w:ind w:left="360" w:hanging="180"/>
        <w:outlineLvl w:val="2"/>
        <w:rPr>
          <w:rFonts w:eastAsia="Times New Roman" w:cs="Arial"/>
          <w:b/>
          <w:bCs/>
          <w:color w:val="2B2D31"/>
          <w:kern w:val="0"/>
          <w:sz w:val="22"/>
          <w:szCs w:val="22"/>
          <w14:ligatures w14:val="none"/>
        </w:rPr>
      </w:pPr>
      <w:r w:rsidRPr="00965070">
        <w:rPr>
          <w:rFonts w:eastAsia="Times New Roman" w:cs="Arial"/>
          <w:b/>
          <w:bCs/>
          <w:color w:val="2B2D31"/>
          <w:kern w:val="0"/>
          <w:sz w:val="22"/>
          <w:szCs w:val="22"/>
          <w14:ligatures w14:val="none"/>
        </w:rPr>
        <w:t>2. Highlight Clear and Tangible Benefits for the LLMIC:</w:t>
      </w:r>
    </w:p>
    <w:p w14:paraId="17524DEE" w14:textId="77777777" w:rsidR="00965070" w:rsidRPr="00965070" w:rsidRDefault="00965070" w:rsidP="00A33F74">
      <w:pPr>
        <w:numPr>
          <w:ilvl w:val="0"/>
          <w:numId w:val="5"/>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Financial Inclusion:</w:t>
      </w:r>
    </w:p>
    <w:p w14:paraId="4B845391" w14:textId="77777777" w:rsidR="00965070" w:rsidRPr="00965070" w:rsidRDefault="00965070" w:rsidP="001638A8">
      <w:pPr>
        <w:numPr>
          <w:ilvl w:val="1"/>
          <w:numId w:val="5"/>
        </w:numPr>
        <w:shd w:val="clear" w:color="auto" w:fill="FFFFFF"/>
        <w:tabs>
          <w:tab w:val="clear" w:pos="1440"/>
          <w:tab w:val="num" w:pos="450"/>
          <w:tab w:val="num" w:pos="630"/>
        </w:tabs>
        <w:spacing w:after="0" w:line="240" w:lineRule="auto"/>
        <w:ind w:left="634" w:hanging="274"/>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A stablecoin can provide digital financial services to unbanked and underbanked populations at lower costs, improving access to payments, savings, and credit.</w:t>
      </w:r>
    </w:p>
    <w:p w14:paraId="2E86ACAE" w14:textId="77777777" w:rsidR="00965070" w:rsidRPr="00965070" w:rsidRDefault="00965070" w:rsidP="00C0625C">
      <w:pPr>
        <w:numPr>
          <w:ilvl w:val="1"/>
          <w:numId w:val="5"/>
        </w:numPr>
        <w:shd w:val="clear" w:color="auto" w:fill="FFFFFF"/>
        <w:tabs>
          <w:tab w:val="clear" w:pos="1440"/>
          <w:tab w:val="num" w:pos="450"/>
          <w:tab w:val="num"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Demonstrate how GSXC's technology can create user-friendly interfaces and distribution networks reaching remote areas.</w:t>
      </w:r>
    </w:p>
    <w:p w14:paraId="7F9B623A" w14:textId="77777777" w:rsidR="00965070" w:rsidRPr="00965070" w:rsidRDefault="00965070" w:rsidP="00C0625C">
      <w:pPr>
        <w:numPr>
          <w:ilvl w:val="0"/>
          <w:numId w:val="5"/>
        </w:numPr>
        <w:shd w:val="clear" w:color="auto" w:fill="FFFFFF"/>
        <w:tabs>
          <w:tab w:val="clear" w:pos="720"/>
          <w:tab w:val="num" w:pos="450"/>
          <w:tab w:val="left" w:pos="63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Reduced Transaction Costs &amp; Increased Efficiency:</w:t>
      </w:r>
    </w:p>
    <w:p w14:paraId="0714552B" w14:textId="77777777" w:rsidR="00965070" w:rsidRPr="00965070" w:rsidRDefault="00965070" w:rsidP="001638A8">
      <w:pPr>
        <w:numPr>
          <w:ilvl w:val="1"/>
          <w:numId w:val="5"/>
        </w:numPr>
        <w:shd w:val="clear" w:color="auto" w:fill="FFFFFF"/>
        <w:tabs>
          <w:tab w:val="clear" w:pos="1440"/>
          <w:tab w:val="num" w:pos="450"/>
          <w:tab w:val="left" w:pos="630"/>
        </w:tabs>
        <w:spacing w:after="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Lower fees and faster settlement times for domestic and international remittances, interbank payments, and retail transactions. This can boost economic activity.</w:t>
      </w:r>
    </w:p>
    <w:p w14:paraId="3213FD1B" w14:textId="77777777" w:rsidR="00965070" w:rsidRPr="00965070" w:rsidRDefault="00965070" w:rsidP="001638A8">
      <w:pPr>
        <w:numPr>
          <w:ilvl w:val="1"/>
          <w:numId w:val="5"/>
        </w:numPr>
        <w:shd w:val="clear" w:color="auto" w:fill="FFFFFF"/>
        <w:tabs>
          <w:tab w:val="clear" w:pos="1440"/>
          <w:tab w:val="num" w:pos="450"/>
          <w:tab w:val="left"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Provide clear cost-saving analyses and projections for various payment corridors, especially for cross-border remittances which are critical for many LLMICs.</w:t>
      </w:r>
    </w:p>
    <w:p w14:paraId="43E1CE46" w14:textId="77777777" w:rsidR="00965070" w:rsidRPr="00965070" w:rsidRDefault="00965070" w:rsidP="001638A8">
      <w:pPr>
        <w:numPr>
          <w:ilvl w:val="0"/>
          <w:numId w:val="5"/>
        </w:numPr>
        <w:shd w:val="clear" w:color="auto" w:fill="FFFFFF"/>
        <w:tabs>
          <w:tab w:val="clear" w:pos="720"/>
          <w:tab w:val="num" w:pos="450"/>
          <w:tab w:val="left" w:pos="63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Innovation &amp; Digital Economy Growth:</w:t>
      </w:r>
    </w:p>
    <w:p w14:paraId="48B3289F" w14:textId="77777777" w:rsidR="00965070" w:rsidRPr="00965070" w:rsidRDefault="00965070" w:rsidP="001638A8">
      <w:pPr>
        <w:numPr>
          <w:ilvl w:val="2"/>
          <w:numId w:val="5"/>
        </w:numPr>
        <w:shd w:val="clear" w:color="auto" w:fill="FFFFFF"/>
        <w:tabs>
          <w:tab w:val="clear" w:pos="2160"/>
          <w:tab w:val="left" w:pos="630"/>
          <w:tab w:val="num" w:pos="1800"/>
        </w:tabs>
        <w:spacing w:after="120" w:line="240" w:lineRule="auto"/>
        <w:ind w:left="630" w:hanging="45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Foster a local digital economy, encourage FinTech innovation, and attract foreign investment in the tech sector.</w:t>
      </w:r>
    </w:p>
    <w:p w14:paraId="1C2A49C2" w14:textId="77777777" w:rsidR="00965070" w:rsidRPr="00965070" w:rsidRDefault="00965070" w:rsidP="001638A8">
      <w:pPr>
        <w:numPr>
          <w:ilvl w:val="1"/>
          <w:numId w:val="5"/>
        </w:numPr>
        <w:shd w:val="clear" w:color="auto" w:fill="FFFFFF"/>
        <w:tabs>
          <w:tab w:val="clear" w:pos="1440"/>
          <w:tab w:val="num"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Position the stablecoin as a foundation layer for new financial products, smart contracts, and efficient supply chain finance, all built on their national currency.</w:t>
      </w:r>
    </w:p>
    <w:p w14:paraId="1D5C63D5" w14:textId="77777777" w:rsidR="00965070" w:rsidRPr="00965070" w:rsidRDefault="00965070" w:rsidP="00A33F74">
      <w:pPr>
        <w:numPr>
          <w:ilvl w:val="0"/>
          <w:numId w:val="5"/>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Enhanced Remittance Flows:</w:t>
      </w:r>
    </w:p>
    <w:p w14:paraId="7C6E995F" w14:textId="77777777" w:rsidR="00965070" w:rsidRPr="00965070" w:rsidRDefault="00965070" w:rsidP="001638A8">
      <w:pPr>
        <w:numPr>
          <w:ilvl w:val="1"/>
          <w:numId w:val="5"/>
        </w:numPr>
        <w:shd w:val="clear" w:color="auto" w:fill="FFFFFF"/>
        <w:tabs>
          <w:tab w:val="clear" w:pos="1440"/>
          <w:tab w:val="num" w:pos="450"/>
          <w:tab w:val="num"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Make it easier, faster, and cheaper for diaspora communities to send money home, increasing the amount received by families.</w:t>
      </w:r>
    </w:p>
    <w:p w14:paraId="39FEDE27" w14:textId="77777777" w:rsidR="00965070" w:rsidRPr="00965070" w:rsidRDefault="00965070" w:rsidP="001638A8">
      <w:pPr>
        <w:numPr>
          <w:ilvl w:val="1"/>
          <w:numId w:val="5"/>
        </w:numPr>
        <w:shd w:val="clear" w:color="auto" w:fill="FFFFFF"/>
        <w:tabs>
          <w:tab w:val="clear" w:pos="1440"/>
          <w:tab w:val="num" w:pos="450"/>
          <w:tab w:val="num" w:pos="630"/>
        </w:tabs>
        <w:spacing w:after="120" w:line="240" w:lineRule="auto"/>
        <w:ind w:left="63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Focus on specific corridors and showcase how GSXC's stablecoin could significantly cut costs compared to traditional money transfer operators.</w:t>
      </w:r>
    </w:p>
    <w:p w14:paraId="019D55C3" w14:textId="77777777" w:rsidR="00965070" w:rsidRPr="00965070" w:rsidRDefault="00965070" w:rsidP="00A33F74">
      <w:pPr>
        <w:numPr>
          <w:ilvl w:val="0"/>
          <w:numId w:val="5"/>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Precursor/Complement to CBDC:</w:t>
      </w:r>
    </w:p>
    <w:p w14:paraId="0BEFDA48" w14:textId="77777777" w:rsidR="00965070" w:rsidRPr="00965070" w:rsidRDefault="00965070" w:rsidP="001638A8">
      <w:pPr>
        <w:numPr>
          <w:ilvl w:val="1"/>
          <w:numId w:val="5"/>
        </w:numPr>
        <w:shd w:val="clear" w:color="auto" w:fill="FFFFFF"/>
        <w:tabs>
          <w:tab w:val="clear" w:pos="1440"/>
          <w:tab w:val="left" w:pos="450"/>
        </w:tabs>
        <w:spacing w:after="120" w:line="240" w:lineRule="auto"/>
        <w:ind w:left="63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lastRenderedPageBreak/>
        <w:t>Benefit:</w:t>
      </w:r>
      <w:r w:rsidRPr="00965070">
        <w:rPr>
          <w:rFonts w:eastAsia="Times New Roman" w:cs="Arial"/>
          <w:color w:val="2B2D31"/>
          <w:kern w:val="0"/>
          <w:sz w:val="22"/>
          <w:szCs w:val="22"/>
          <w14:ligatures w14:val="none"/>
        </w:rPr>
        <w:t> For LLMICs exploring CBDCs, a GSXC partnership could serve as a valuable pilot or an interim solution, allowing them to gain experience with digital currency issuance and management without immediately launching a full-fledged CBDC.</w:t>
      </w:r>
    </w:p>
    <w:p w14:paraId="0B95B7BB" w14:textId="693C9050" w:rsidR="00965070" w:rsidRPr="00965070" w:rsidRDefault="00965070" w:rsidP="001638A8">
      <w:pPr>
        <w:numPr>
          <w:ilvl w:val="1"/>
          <w:numId w:val="5"/>
        </w:numPr>
        <w:shd w:val="clear" w:color="auto" w:fill="FFFFFF"/>
        <w:tabs>
          <w:tab w:val="clear" w:pos="1440"/>
          <w:tab w:val="num" w:pos="450"/>
          <w:tab w:val="left" w:pos="630"/>
        </w:tabs>
        <w:spacing w:after="120" w:line="240" w:lineRule="auto"/>
        <w:ind w:left="63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xml:space="preserve"> Offer GSXC's platform as </w:t>
      </w:r>
      <w:r w:rsidR="00C0625C" w:rsidRPr="00965070">
        <w:rPr>
          <w:rFonts w:eastAsia="Times New Roman" w:cs="Arial"/>
          <w:color w:val="2B2D31"/>
          <w:kern w:val="0"/>
          <w:sz w:val="22"/>
          <w:szCs w:val="22"/>
          <w14:ligatures w14:val="none"/>
        </w:rPr>
        <w:t>steppingstone</w:t>
      </w:r>
      <w:r w:rsidRPr="00965070">
        <w:rPr>
          <w:rFonts w:eastAsia="Times New Roman" w:cs="Arial"/>
          <w:color w:val="2B2D31"/>
          <w:kern w:val="0"/>
          <w:sz w:val="22"/>
          <w:szCs w:val="22"/>
          <w14:ligatures w14:val="none"/>
        </w:rPr>
        <w:t xml:space="preserve"> or a "private layer" that works in harmony with a future sovereign CBDC.</w:t>
      </w:r>
    </w:p>
    <w:p w14:paraId="09B62910" w14:textId="77777777" w:rsidR="00965070" w:rsidRPr="00965070" w:rsidRDefault="00965070" w:rsidP="00A33F74">
      <w:pPr>
        <w:shd w:val="clear" w:color="auto" w:fill="FFFFFF"/>
        <w:tabs>
          <w:tab w:val="num" w:pos="360"/>
          <w:tab w:val="num" w:pos="450"/>
        </w:tabs>
        <w:spacing w:after="120" w:line="240" w:lineRule="auto"/>
        <w:ind w:left="360" w:hanging="180"/>
        <w:outlineLvl w:val="2"/>
        <w:rPr>
          <w:rFonts w:eastAsia="Times New Roman" w:cs="Arial"/>
          <w:b/>
          <w:bCs/>
          <w:color w:val="2B2D31"/>
          <w:kern w:val="0"/>
          <w:sz w:val="22"/>
          <w:szCs w:val="22"/>
          <w14:ligatures w14:val="none"/>
        </w:rPr>
      </w:pPr>
      <w:r w:rsidRPr="00965070">
        <w:rPr>
          <w:rFonts w:eastAsia="Times New Roman" w:cs="Arial"/>
          <w:b/>
          <w:bCs/>
          <w:color w:val="2B2D31"/>
          <w:kern w:val="0"/>
          <w:sz w:val="22"/>
          <w:szCs w:val="22"/>
          <w14:ligatures w14:val="none"/>
        </w:rPr>
        <w:t>3. Build Trust and Demonstrate Capability:</w:t>
      </w:r>
    </w:p>
    <w:p w14:paraId="2C51F569" w14:textId="77777777" w:rsidR="00965070" w:rsidRPr="00965070" w:rsidRDefault="00965070" w:rsidP="00A33F74">
      <w:pPr>
        <w:numPr>
          <w:ilvl w:val="0"/>
          <w:numId w:val="6"/>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Pilot Programs:</w:t>
      </w:r>
    </w:p>
    <w:p w14:paraId="5F408DE1" w14:textId="77777777" w:rsidR="00965070" w:rsidRPr="00965070" w:rsidRDefault="00965070" w:rsidP="001638A8">
      <w:pPr>
        <w:numPr>
          <w:ilvl w:val="1"/>
          <w:numId w:val="6"/>
        </w:numPr>
        <w:shd w:val="clear" w:color="auto" w:fill="FFFFFF"/>
        <w:tabs>
          <w:tab w:val="clear" w:pos="1440"/>
          <w:tab w:val="num" w:pos="45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Action:</w:t>
      </w:r>
      <w:r w:rsidRPr="00965070">
        <w:rPr>
          <w:rFonts w:eastAsia="Times New Roman" w:cs="Arial"/>
          <w:color w:val="2B2D31"/>
          <w:kern w:val="0"/>
          <w:sz w:val="22"/>
          <w:szCs w:val="22"/>
          <w14:ligatures w14:val="none"/>
        </w:rPr>
        <w:t> Propose a controlled pilot program in a specific use case (e.g., inter-bank settlement, specific remittance corridor, or government aid distribution) with a willing LLMIC central bank.</w:t>
      </w:r>
    </w:p>
    <w:p w14:paraId="4A8FD2EE" w14:textId="77777777" w:rsidR="00965070" w:rsidRPr="00965070" w:rsidRDefault="00965070" w:rsidP="001638A8">
      <w:pPr>
        <w:numPr>
          <w:ilvl w:val="1"/>
          <w:numId w:val="6"/>
        </w:numPr>
        <w:shd w:val="clear" w:color="auto" w:fill="FFFFFF"/>
        <w:tabs>
          <w:tab w:val="clear" w:pos="144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This allows the central bank to evaluate the technology and partnership with minimal risk.</w:t>
      </w:r>
    </w:p>
    <w:p w14:paraId="0A9BE30F" w14:textId="77777777" w:rsidR="00965070" w:rsidRPr="00965070" w:rsidRDefault="00965070" w:rsidP="00A33F74">
      <w:pPr>
        <w:numPr>
          <w:ilvl w:val="0"/>
          <w:numId w:val="6"/>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Educational Workshops &amp; Training:</w:t>
      </w:r>
    </w:p>
    <w:p w14:paraId="19626DD3" w14:textId="77777777" w:rsidR="00965070" w:rsidRPr="00965070" w:rsidRDefault="00965070" w:rsidP="001638A8">
      <w:pPr>
        <w:numPr>
          <w:ilvl w:val="1"/>
          <w:numId w:val="6"/>
        </w:numPr>
        <w:shd w:val="clear" w:color="auto" w:fill="FFFFFF"/>
        <w:tabs>
          <w:tab w:val="clear" w:pos="144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Action:</w:t>
      </w:r>
      <w:r w:rsidRPr="00965070">
        <w:rPr>
          <w:rFonts w:eastAsia="Times New Roman" w:cs="Arial"/>
          <w:color w:val="2B2D31"/>
          <w:kern w:val="0"/>
          <w:sz w:val="22"/>
          <w:szCs w:val="22"/>
          <w14:ligatures w14:val="none"/>
        </w:rPr>
        <w:t> Offer comprehensive workshops for central bank officials on blockchain technology, stablecoin mechanics, regulatory frameworks, and cybersecurity.</w:t>
      </w:r>
    </w:p>
    <w:p w14:paraId="701BF40B" w14:textId="77777777" w:rsidR="00965070" w:rsidRPr="00965070" w:rsidRDefault="00965070" w:rsidP="001638A8">
      <w:pPr>
        <w:numPr>
          <w:ilvl w:val="1"/>
          <w:numId w:val="6"/>
        </w:numPr>
        <w:shd w:val="clear" w:color="auto" w:fill="FFFFFF"/>
        <w:tabs>
          <w:tab w:val="clear" w:pos="1440"/>
        </w:tabs>
        <w:spacing w:after="120" w:line="240" w:lineRule="auto"/>
        <w:ind w:left="450" w:firstLine="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Demystifies the technology and builds internal capacity within the central bank.</w:t>
      </w:r>
    </w:p>
    <w:p w14:paraId="7B6E3344" w14:textId="77777777" w:rsidR="00965070" w:rsidRPr="00965070" w:rsidRDefault="00965070" w:rsidP="00A33F74">
      <w:pPr>
        <w:numPr>
          <w:ilvl w:val="0"/>
          <w:numId w:val="6"/>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Partnerships &amp; Endorsements:</w:t>
      </w:r>
    </w:p>
    <w:p w14:paraId="4DB1BFD9" w14:textId="77777777" w:rsidR="00965070" w:rsidRPr="00965070" w:rsidRDefault="00965070" w:rsidP="001638A8">
      <w:pPr>
        <w:numPr>
          <w:ilvl w:val="1"/>
          <w:numId w:val="6"/>
        </w:numPr>
        <w:shd w:val="clear" w:color="auto" w:fill="FFFFFF"/>
        <w:tabs>
          <w:tab w:val="clear" w:pos="1440"/>
          <w:tab w:val="num" w:pos="72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Action:</w:t>
      </w:r>
      <w:r w:rsidRPr="00965070">
        <w:rPr>
          <w:rFonts w:eastAsia="Times New Roman" w:cs="Arial"/>
          <w:color w:val="2B2D31"/>
          <w:kern w:val="0"/>
          <w:sz w:val="22"/>
          <w:szCs w:val="22"/>
          <w14:ligatures w14:val="none"/>
        </w:rPr>
        <w:t> Seek endorsements or collaborations with international bodies like the World Bank, IMF, or regional development banks, which can lend credibility.</w:t>
      </w:r>
    </w:p>
    <w:p w14:paraId="3719C352" w14:textId="77777777" w:rsidR="00965070" w:rsidRPr="00965070" w:rsidRDefault="00965070" w:rsidP="003140E2">
      <w:pPr>
        <w:numPr>
          <w:ilvl w:val="2"/>
          <w:numId w:val="9"/>
        </w:numPr>
        <w:shd w:val="clear" w:color="auto" w:fill="FFFFFF"/>
        <w:tabs>
          <w:tab w:val="left" w:pos="72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Provides external validation and signals trustworthiness to skeptical central banks.</w:t>
      </w:r>
    </w:p>
    <w:p w14:paraId="7266F24F" w14:textId="77777777" w:rsidR="00965070" w:rsidRPr="00965070" w:rsidRDefault="00965070" w:rsidP="00A33F74">
      <w:pPr>
        <w:numPr>
          <w:ilvl w:val="0"/>
          <w:numId w:val="6"/>
        </w:numPr>
        <w:shd w:val="clear" w:color="auto" w:fill="FFFFFF"/>
        <w:tabs>
          <w:tab w:val="clear" w:pos="720"/>
          <w:tab w:val="num" w:pos="360"/>
          <w:tab w:val="num" w:pos="450"/>
        </w:tabs>
        <w:spacing w:after="120" w:line="240" w:lineRule="auto"/>
        <w:ind w:left="36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Tailored Solutions:</w:t>
      </w:r>
    </w:p>
    <w:p w14:paraId="726AB283" w14:textId="77777777" w:rsidR="00965070" w:rsidRPr="00965070" w:rsidRDefault="00965070" w:rsidP="003140E2">
      <w:pPr>
        <w:numPr>
          <w:ilvl w:val="2"/>
          <w:numId w:val="6"/>
        </w:numPr>
        <w:shd w:val="clear" w:color="auto" w:fill="FFFFFF"/>
        <w:tabs>
          <w:tab w:val="left" w:pos="72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Action:</w:t>
      </w:r>
      <w:r w:rsidRPr="00965070">
        <w:rPr>
          <w:rFonts w:eastAsia="Times New Roman" w:cs="Arial"/>
          <w:color w:val="2B2D31"/>
          <w:kern w:val="0"/>
          <w:sz w:val="22"/>
          <w:szCs w:val="22"/>
          <w14:ligatures w14:val="none"/>
        </w:rPr>
        <w:t> Avoid a one-size-fits-all approach. Research each LLMIC's specific economic conditions, regulatory environment, and financial inclusion goals.</w:t>
      </w:r>
    </w:p>
    <w:p w14:paraId="024F4880" w14:textId="77777777" w:rsidR="00965070" w:rsidRPr="00965070" w:rsidRDefault="00965070" w:rsidP="003140E2">
      <w:pPr>
        <w:numPr>
          <w:ilvl w:val="1"/>
          <w:numId w:val="6"/>
        </w:numPr>
        <w:shd w:val="clear" w:color="auto" w:fill="FFFFFF"/>
        <w:tabs>
          <w:tab w:val="clear" w:pos="1440"/>
          <w:tab w:val="left" w:pos="720"/>
        </w:tabs>
        <w:spacing w:after="120" w:line="240" w:lineRule="auto"/>
        <w:ind w:left="72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Benefit:</w:t>
      </w:r>
      <w:r w:rsidRPr="00965070">
        <w:rPr>
          <w:rFonts w:eastAsia="Times New Roman" w:cs="Arial"/>
          <w:color w:val="2B2D31"/>
          <w:kern w:val="0"/>
          <w:sz w:val="22"/>
          <w:szCs w:val="22"/>
          <w14:ligatures w14:val="none"/>
        </w:rPr>
        <w:t> Shows a genuine understanding of their unique challenges and increases the relevance of the proposal.</w:t>
      </w:r>
    </w:p>
    <w:p w14:paraId="369D022F" w14:textId="77777777" w:rsidR="00965070" w:rsidRPr="00965070" w:rsidRDefault="00965070" w:rsidP="00A33F74">
      <w:pPr>
        <w:shd w:val="clear" w:color="auto" w:fill="FFFFFF"/>
        <w:tabs>
          <w:tab w:val="num" w:pos="360"/>
          <w:tab w:val="num" w:pos="450"/>
        </w:tabs>
        <w:spacing w:after="120" w:line="240" w:lineRule="auto"/>
        <w:ind w:left="360" w:hanging="180"/>
        <w:outlineLvl w:val="2"/>
        <w:rPr>
          <w:rFonts w:eastAsia="Times New Roman" w:cs="Arial"/>
          <w:b/>
          <w:bCs/>
          <w:color w:val="2B2D31"/>
          <w:kern w:val="0"/>
          <w:sz w:val="22"/>
          <w:szCs w:val="22"/>
          <w14:ligatures w14:val="none"/>
        </w:rPr>
      </w:pPr>
      <w:r w:rsidRPr="00965070">
        <w:rPr>
          <w:rFonts w:eastAsia="Times New Roman" w:cs="Arial"/>
          <w:b/>
          <w:bCs/>
          <w:color w:val="2B2D31"/>
          <w:kern w:val="0"/>
          <w:sz w:val="22"/>
          <w:szCs w:val="22"/>
          <w14:ligatures w14:val="none"/>
        </w:rPr>
        <w:t>4. Commercial Model &amp; Incentives:</w:t>
      </w:r>
    </w:p>
    <w:p w14:paraId="40699AF2" w14:textId="77777777" w:rsidR="00965070" w:rsidRPr="00965070" w:rsidRDefault="00965070" w:rsidP="00C17D09">
      <w:pPr>
        <w:numPr>
          <w:ilvl w:val="0"/>
          <w:numId w:val="7"/>
        </w:numPr>
        <w:shd w:val="clear" w:color="auto" w:fill="FFFFFF"/>
        <w:tabs>
          <w:tab w:val="clear" w:pos="720"/>
          <w:tab w:val="num" w:pos="450"/>
          <w:tab w:val="num" w:pos="630"/>
        </w:tabs>
        <w:spacing w:after="120" w:line="240" w:lineRule="auto"/>
        <w:ind w:hanging="54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Revenue Sharing:</w:t>
      </w:r>
    </w:p>
    <w:p w14:paraId="2E6A068A" w14:textId="77777777" w:rsidR="00965070" w:rsidRPr="00965070" w:rsidRDefault="00965070" w:rsidP="003140E2">
      <w:pPr>
        <w:numPr>
          <w:ilvl w:val="1"/>
          <w:numId w:val="7"/>
        </w:numPr>
        <w:shd w:val="clear" w:color="auto" w:fill="FFFFFF"/>
        <w:tabs>
          <w:tab w:val="clear" w:pos="1440"/>
          <w:tab w:val="num" w:pos="630"/>
        </w:tabs>
        <w:spacing w:after="120" w:line="240" w:lineRule="auto"/>
        <w:ind w:left="720" w:hanging="18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Propose a revenue-sharing model that provides a direct financial incentive to the central bank or government, possibly through transaction fees or a portion of the float's yield.</w:t>
      </w:r>
    </w:p>
    <w:p w14:paraId="3489A0B1" w14:textId="77777777" w:rsidR="00965070" w:rsidRPr="00965070" w:rsidRDefault="00965070" w:rsidP="00C17D09">
      <w:pPr>
        <w:numPr>
          <w:ilvl w:val="0"/>
          <w:numId w:val="7"/>
        </w:numPr>
        <w:shd w:val="clear" w:color="auto" w:fill="FFFFFF"/>
        <w:tabs>
          <w:tab w:val="clear" w:pos="720"/>
          <w:tab w:val="left" w:pos="450"/>
          <w:tab w:val="num" w:pos="630"/>
        </w:tabs>
        <w:spacing w:after="120" w:line="240" w:lineRule="auto"/>
        <w:ind w:left="45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Cost-Effectiveness:</w:t>
      </w:r>
    </w:p>
    <w:p w14:paraId="1EE687DC" w14:textId="77777777" w:rsidR="00965070" w:rsidRPr="00965070" w:rsidRDefault="00965070" w:rsidP="003140E2">
      <w:pPr>
        <w:numPr>
          <w:ilvl w:val="1"/>
          <w:numId w:val="7"/>
        </w:numPr>
        <w:shd w:val="clear" w:color="auto" w:fill="FFFFFF"/>
        <w:tabs>
          <w:tab w:val="clear" w:pos="1440"/>
          <w:tab w:val="num" w:pos="720"/>
        </w:tabs>
        <w:spacing w:after="120" w:line="240" w:lineRule="auto"/>
        <w:ind w:left="81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Pitch:</w:t>
      </w:r>
      <w:r w:rsidRPr="00965070">
        <w:rPr>
          <w:rFonts w:eastAsia="Times New Roman" w:cs="Arial"/>
          <w:color w:val="2B2D31"/>
          <w:kern w:val="0"/>
          <w:sz w:val="22"/>
          <w:szCs w:val="22"/>
          <w14:ligatures w14:val="none"/>
        </w:rPr>
        <w:t> Demonstrate that the long-term benefits of efficiency and financial inclusion far outweigh the initial investment or operational costs.</w:t>
      </w:r>
    </w:p>
    <w:p w14:paraId="0CF6C96F" w14:textId="77777777" w:rsidR="00965070" w:rsidRPr="00965070" w:rsidRDefault="00965070" w:rsidP="00C17D09">
      <w:pPr>
        <w:numPr>
          <w:ilvl w:val="0"/>
          <w:numId w:val="7"/>
        </w:numPr>
        <w:shd w:val="clear" w:color="auto" w:fill="FFFFFF"/>
        <w:tabs>
          <w:tab w:val="clear" w:pos="720"/>
          <w:tab w:val="num" w:pos="450"/>
          <w:tab w:val="num" w:pos="630"/>
        </w:tabs>
        <w:spacing w:after="120" w:line="240" w:lineRule="auto"/>
        <w:ind w:left="450" w:hanging="270"/>
        <w:rPr>
          <w:rFonts w:eastAsia="Times New Roman" w:cs="Arial"/>
          <w:color w:val="2B2D31"/>
          <w:kern w:val="0"/>
          <w:sz w:val="22"/>
          <w:szCs w:val="22"/>
          <w14:ligatures w14:val="none"/>
        </w:rPr>
      </w:pPr>
      <w:r w:rsidRPr="00965070">
        <w:rPr>
          <w:rFonts w:eastAsia="Times New Roman" w:cs="Arial"/>
          <w:b/>
          <w:bCs/>
          <w:color w:val="2B2D31"/>
          <w:kern w:val="0"/>
          <w:sz w:val="22"/>
          <w:szCs w:val="22"/>
          <w14:ligatures w14:val="none"/>
        </w:rPr>
        <w:t>Technical Support &amp; Maintenance:</w:t>
      </w:r>
    </w:p>
    <w:p w14:paraId="729A57E0" w14:textId="77777777" w:rsidR="00965070" w:rsidRPr="00C0625C" w:rsidRDefault="00965070" w:rsidP="003140E2">
      <w:pPr>
        <w:pStyle w:val="ListParagraph"/>
        <w:numPr>
          <w:ilvl w:val="0"/>
          <w:numId w:val="8"/>
        </w:numPr>
        <w:shd w:val="clear" w:color="auto" w:fill="FFFFFF"/>
        <w:spacing w:after="120" w:line="240" w:lineRule="auto"/>
        <w:ind w:left="720" w:hanging="270"/>
        <w:rPr>
          <w:rFonts w:eastAsia="Times New Roman" w:cs="Arial"/>
          <w:color w:val="2B2D31"/>
          <w:kern w:val="0"/>
          <w:sz w:val="22"/>
          <w:szCs w:val="22"/>
          <w14:ligatures w14:val="none"/>
        </w:rPr>
      </w:pPr>
      <w:r w:rsidRPr="00C0625C">
        <w:rPr>
          <w:rFonts w:eastAsia="Times New Roman" w:cs="Arial"/>
          <w:b/>
          <w:bCs/>
          <w:color w:val="2B2D31"/>
          <w:kern w:val="0"/>
          <w:sz w:val="22"/>
          <w:szCs w:val="22"/>
          <w14:ligatures w14:val="none"/>
        </w:rPr>
        <w:t>Pitch:</w:t>
      </w:r>
      <w:r w:rsidRPr="00C0625C">
        <w:rPr>
          <w:rFonts w:eastAsia="Times New Roman" w:cs="Arial"/>
          <w:color w:val="2B2D31"/>
          <w:kern w:val="0"/>
          <w:sz w:val="22"/>
          <w:szCs w:val="22"/>
          <w14:ligatures w14:val="none"/>
        </w:rPr>
        <w:t> Offer ongoing technical support, upgrades, and maintenance, ensuring the longevity and reliability of the platform.</w:t>
      </w:r>
    </w:p>
    <w:p w14:paraId="262A2131" w14:textId="77777777" w:rsidR="00965070" w:rsidRPr="00965070" w:rsidRDefault="00965070" w:rsidP="00A33F74">
      <w:pPr>
        <w:shd w:val="clear" w:color="auto" w:fill="FFFFFF"/>
        <w:tabs>
          <w:tab w:val="num" w:pos="450"/>
        </w:tabs>
        <w:spacing w:after="120" w:line="240" w:lineRule="auto"/>
        <w:rPr>
          <w:rFonts w:eastAsia="Times New Roman" w:cs="Arial"/>
          <w:color w:val="2B2D31"/>
          <w:kern w:val="0"/>
          <w:sz w:val="22"/>
          <w:szCs w:val="22"/>
          <w14:ligatures w14:val="none"/>
        </w:rPr>
      </w:pPr>
      <w:r w:rsidRPr="00965070">
        <w:rPr>
          <w:rFonts w:eastAsia="Times New Roman" w:cs="Arial"/>
          <w:color w:val="2B2D31"/>
          <w:kern w:val="0"/>
          <w:sz w:val="22"/>
          <w:szCs w:val="22"/>
          <w14:ligatures w14:val="none"/>
        </w:rPr>
        <w:lastRenderedPageBreak/>
        <w:t>By methodically addressing concerns, highlighting tangible benefits, building trust through action, and proposing mutually beneficial commercial models, GSXC can significantly increase its chances of cooperating with LLMIC central banks to issue national currency stablecoins.</w:t>
      </w:r>
    </w:p>
    <w:p w14:paraId="1B6D1BF2" w14:textId="1907C8AC" w:rsidR="00965070" w:rsidRPr="00965070" w:rsidRDefault="00A33F74" w:rsidP="00A33F74">
      <w:pPr>
        <w:shd w:val="clear" w:color="auto" w:fill="FFFFFF"/>
        <w:tabs>
          <w:tab w:val="num" w:pos="450"/>
        </w:tabs>
        <w:spacing w:after="120" w:line="240" w:lineRule="auto"/>
        <w:ind w:hanging="540"/>
        <w:rPr>
          <w:rFonts w:eastAsia="Times New Roman" w:cs="Arial"/>
          <w:color w:val="2B2D31"/>
          <w:kern w:val="0"/>
          <w:sz w:val="22"/>
          <w:szCs w:val="22"/>
          <w14:ligatures w14:val="none"/>
        </w:rPr>
      </w:pPr>
      <w:r>
        <w:rPr>
          <w:rFonts w:eastAsia="Times New Roman" w:cs="Arial"/>
          <w:color w:val="2B2D31"/>
          <w:kern w:val="0"/>
          <w:sz w:val="22"/>
          <w:szCs w:val="22"/>
          <w14:ligatures w14:val="none"/>
        </w:rPr>
        <w:tab/>
      </w:r>
      <w:r w:rsidR="00965070" w:rsidRPr="00965070">
        <w:rPr>
          <w:rFonts w:eastAsia="Times New Roman" w:cs="Arial"/>
          <w:color w:val="2B2D31"/>
          <w:kern w:val="0"/>
          <w:sz w:val="22"/>
          <w:szCs w:val="22"/>
          <w14:ligatures w14:val="none"/>
        </w:rPr>
        <w:t>Here's an image visualizing a handshake between traditional financial symbols (like a central bank building or a gear) and digital currency symbols, representing cooperation and innovation.</w:t>
      </w:r>
    </w:p>
    <w:sectPr w:rsidR="00965070" w:rsidRPr="009650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964"/>
    <w:multiLevelType w:val="multilevel"/>
    <w:tmpl w:val="CF242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36FA6"/>
    <w:multiLevelType w:val="hybridMultilevel"/>
    <w:tmpl w:val="220CAA3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1C0B0D55"/>
    <w:multiLevelType w:val="multilevel"/>
    <w:tmpl w:val="47889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E1413"/>
    <w:multiLevelType w:val="multilevel"/>
    <w:tmpl w:val="4818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F5152"/>
    <w:multiLevelType w:val="multilevel"/>
    <w:tmpl w:val="E3048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B5EF5"/>
    <w:multiLevelType w:val="multilevel"/>
    <w:tmpl w:val="42B8E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400A85"/>
    <w:multiLevelType w:val="multilevel"/>
    <w:tmpl w:val="A4364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5C1523"/>
    <w:multiLevelType w:val="multilevel"/>
    <w:tmpl w:val="1DDE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C31882"/>
    <w:multiLevelType w:val="multilevel"/>
    <w:tmpl w:val="C0D07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867780">
    <w:abstractNumId w:val="3"/>
  </w:num>
  <w:num w:numId="2" w16cid:durableId="1657413809">
    <w:abstractNumId w:val="2"/>
  </w:num>
  <w:num w:numId="3" w16cid:durableId="2145851783">
    <w:abstractNumId w:val="7"/>
  </w:num>
  <w:num w:numId="4" w16cid:durableId="36664852">
    <w:abstractNumId w:val="8"/>
  </w:num>
  <w:num w:numId="5" w16cid:durableId="287514868">
    <w:abstractNumId w:val="4"/>
  </w:num>
  <w:num w:numId="6" w16cid:durableId="695424237">
    <w:abstractNumId w:val="6"/>
  </w:num>
  <w:num w:numId="7" w16cid:durableId="1072779242">
    <w:abstractNumId w:val="5"/>
  </w:num>
  <w:num w:numId="8" w16cid:durableId="1346395452">
    <w:abstractNumId w:val="1"/>
  </w:num>
  <w:num w:numId="9" w16cid:durableId="106051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UwMrewsLQwNzAxMTVR0lEKTi0uzszPAykwrAUAwep3QSwAAAA="/>
  </w:docVars>
  <w:rsids>
    <w:rsidRoot w:val="00684BDB"/>
    <w:rsid w:val="001638A8"/>
    <w:rsid w:val="00280601"/>
    <w:rsid w:val="003140E2"/>
    <w:rsid w:val="003728EE"/>
    <w:rsid w:val="005020E7"/>
    <w:rsid w:val="0056353A"/>
    <w:rsid w:val="00684BDB"/>
    <w:rsid w:val="00684F55"/>
    <w:rsid w:val="00965070"/>
    <w:rsid w:val="0098613E"/>
    <w:rsid w:val="00A03483"/>
    <w:rsid w:val="00A33F74"/>
    <w:rsid w:val="00C0625C"/>
    <w:rsid w:val="00C17D09"/>
    <w:rsid w:val="00F60928"/>
    <w:rsid w:val="00F84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16635"/>
  <w15:chartTrackingRefBased/>
  <w15:docId w15:val="{D5EAC56D-79D0-40AB-B826-670C3195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B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B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84B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B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B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B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B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B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B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B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B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84B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B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B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B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B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B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BDB"/>
    <w:rPr>
      <w:rFonts w:eastAsiaTheme="majorEastAsia" w:cstheme="majorBidi"/>
      <w:color w:val="272727" w:themeColor="text1" w:themeTint="D8"/>
    </w:rPr>
  </w:style>
  <w:style w:type="paragraph" w:styleId="Title">
    <w:name w:val="Title"/>
    <w:basedOn w:val="Normal"/>
    <w:next w:val="Normal"/>
    <w:link w:val="TitleChar"/>
    <w:uiPriority w:val="10"/>
    <w:qFormat/>
    <w:rsid w:val="00684B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B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B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B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BDB"/>
    <w:pPr>
      <w:spacing w:before="160"/>
      <w:jc w:val="center"/>
    </w:pPr>
    <w:rPr>
      <w:i/>
      <w:iCs/>
      <w:color w:val="404040" w:themeColor="text1" w:themeTint="BF"/>
    </w:rPr>
  </w:style>
  <w:style w:type="character" w:customStyle="1" w:styleId="QuoteChar">
    <w:name w:val="Quote Char"/>
    <w:basedOn w:val="DefaultParagraphFont"/>
    <w:link w:val="Quote"/>
    <w:uiPriority w:val="29"/>
    <w:rsid w:val="00684BDB"/>
    <w:rPr>
      <w:i/>
      <w:iCs/>
      <w:color w:val="404040" w:themeColor="text1" w:themeTint="BF"/>
    </w:rPr>
  </w:style>
  <w:style w:type="paragraph" w:styleId="ListParagraph">
    <w:name w:val="List Paragraph"/>
    <w:basedOn w:val="Normal"/>
    <w:uiPriority w:val="34"/>
    <w:qFormat/>
    <w:rsid w:val="00684BDB"/>
    <w:pPr>
      <w:ind w:left="720"/>
      <w:contextualSpacing/>
    </w:pPr>
  </w:style>
  <w:style w:type="character" w:styleId="IntenseEmphasis">
    <w:name w:val="Intense Emphasis"/>
    <w:basedOn w:val="DefaultParagraphFont"/>
    <w:uiPriority w:val="21"/>
    <w:qFormat/>
    <w:rsid w:val="00684BDB"/>
    <w:rPr>
      <w:i/>
      <w:iCs/>
      <w:color w:val="0F4761" w:themeColor="accent1" w:themeShade="BF"/>
    </w:rPr>
  </w:style>
  <w:style w:type="paragraph" w:styleId="IntenseQuote">
    <w:name w:val="Intense Quote"/>
    <w:basedOn w:val="Normal"/>
    <w:next w:val="Normal"/>
    <w:link w:val="IntenseQuoteChar"/>
    <w:uiPriority w:val="30"/>
    <w:qFormat/>
    <w:rsid w:val="00684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BDB"/>
    <w:rPr>
      <w:i/>
      <w:iCs/>
      <w:color w:val="0F4761" w:themeColor="accent1" w:themeShade="BF"/>
    </w:rPr>
  </w:style>
  <w:style w:type="character" w:styleId="IntenseReference">
    <w:name w:val="Intense Reference"/>
    <w:basedOn w:val="DefaultParagraphFont"/>
    <w:uiPriority w:val="32"/>
    <w:qFormat/>
    <w:rsid w:val="00684BDB"/>
    <w:rPr>
      <w:b/>
      <w:bCs/>
      <w:smallCaps/>
      <w:color w:val="0F4761" w:themeColor="accent1" w:themeShade="BF"/>
      <w:spacing w:val="5"/>
    </w:rPr>
  </w:style>
  <w:style w:type="paragraph" w:customStyle="1" w:styleId="ng-star-inserted">
    <w:name w:val="ng-star-inserted"/>
    <w:basedOn w:val="Normal"/>
    <w:rsid w:val="00F84B0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F84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1591</Words>
  <Characters>9613</Characters>
  <Application>Microsoft Office Word</Application>
  <DocSecurity>0</DocSecurity>
  <Lines>165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8</cp:revision>
  <dcterms:created xsi:type="dcterms:W3CDTF">2026-02-17T18:51:00Z</dcterms:created>
  <dcterms:modified xsi:type="dcterms:W3CDTF">2026-02-17T19:52:00Z</dcterms:modified>
</cp:coreProperties>
</file>