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01A0" w14:textId="77777777" w:rsidR="00470843" w:rsidRDefault="00000000">
      <w:r>
        <w:rPr>
          <w:b/>
          <w:bCs/>
          <w:color w:val="0D2340"/>
          <w:sz w:val="56"/>
          <w:szCs w:val="56"/>
        </w:rPr>
        <w:t>GSCX GROUP</w:t>
      </w:r>
    </w:p>
    <w:p w14:paraId="347A2281" w14:textId="77777777" w:rsidR="00470843" w:rsidRDefault="00000000">
      <w:r>
        <w:rPr>
          <w:b/>
          <w:bCs/>
          <w:color w:val="1B7A7A"/>
          <w:sz w:val="32"/>
          <w:szCs w:val="32"/>
        </w:rPr>
        <w:t>Series A — Term Sheet Summary</w:t>
      </w:r>
    </w:p>
    <w:p w14:paraId="4C8A7E5D" w14:textId="77777777" w:rsidR="00470843" w:rsidRDefault="00000000">
      <w:pPr>
        <w:spacing w:after="60"/>
      </w:pPr>
      <w:r>
        <w:rPr>
          <w:i/>
          <w:iCs/>
          <w:color w:val="666666"/>
          <w:sz w:val="19"/>
          <w:szCs w:val="19"/>
        </w:rPr>
        <w:t xml:space="preserve">Prepared for UCEA Capital </w:t>
      </w:r>
      <w:proofErr w:type="gramStart"/>
      <w:r>
        <w:rPr>
          <w:i/>
          <w:iCs/>
          <w:color w:val="666666"/>
          <w:sz w:val="19"/>
          <w:szCs w:val="19"/>
        </w:rPr>
        <w:t>Group  |</w:t>
      </w:r>
      <w:proofErr w:type="gramEnd"/>
      <w:r>
        <w:rPr>
          <w:i/>
          <w:iCs/>
          <w:color w:val="666666"/>
          <w:sz w:val="19"/>
          <w:szCs w:val="19"/>
        </w:rPr>
        <w:t xml:space="preserve">  June </w:t>
      </w:r>
      <w:proofErr w:type="gramStart"/>
      <w:r>
        <w:rPr>
          <w:i/>
          <w:iCs/>
          <w:color w:val="666666"/>
          <w:sz w:val="19"/>
          <w:szCs w:val="19"/>
        </w:rPr>
        <w:t>2026  |</w:t>
      </w:r>
      <w:proofErr w:type="gramEnd"/>
      <w:r>
        <w:rPr>
          <w:i/>
          <w:iCs/>
          <w:color w:val="666666"/>
          <w:sz w:val="19"/>
          <w:szCs w:val="19"/>
        </w:rPr>
        <w:t xml:space="preserve">  Confidential — Not a Binding Commitment</w:t>
      </w:r>
    </w:p>
    <w:p w14:paraId="781E84E8" w14:textId="77777777" w:rsidR="00470843" w:rsidRDefault="00470843">
      <w:pPr>
        <w:pBdr>
          <w:bottom w:val="single" w:sz="6" w:space="0" w:color="1B7A7A"/>
        </w:pBdr>
        <w:spacing w:before="60" w:after="100"/>
      </w:pPr>
    </w:p>
    <w:p w14:paraId="45DDB14A" w14:textId="77777777" w:rsidR="00470843" w:rsidRDefault="00000000">
      <w:pPr>
        <w:spacing w:before="60" w:after="120"/>
      </w:pPr>
      <w:r>
        <w:rPr>
          <w:i/>
          <w:iCs/>
          <w:color w:val="666666"/>
          <w:sz w:val="19"/>
          <w:szCs w:val="19"/>
        </w:rPr>
        <w:t xml:space="preserve">This document </w:t>
      </w:r>
      <w:proofErr w:type="spellStart"/>
      <w:r>
        <w:rPr>
          <w:i/>
          <w:iCs/>
          <w:color w:val="666666"/>
          <w:sz w:val="19"/>
          <w:szCs w:val="19"/>
        </w:rPr>
        <w:t>summarises</w:t>
      </w:r>
      <w:proofErr w:type="spellEnd"/>
      <w:r>
        <w:rPr>
          <w:i/>
          <w:iCs/>
          <w:color w:val="666666"/>
          <w:sz w:val="19"/>
          <w:szCs w:val="19"/>
        </w:rPr>
        <w:t xml:space="preserve"> the principal terms upon which GSCX Group is offering a Series A equity interest to UCEA Capital Group and its network of family office and institutional investors. It is not legally binding. Definitive terms will be set out in formal investment documentation agreed between the parties.</w:t>
      </w:r>
    </w:p>
    <w:p w14:paraId="64E74B35" w14:textId="77777777" w:rsidR="00470843" w:rsidRDefault="00000000">
      <w:pPr>
        <w:spacing w:after="80"/>
      </w:pPr>
      <w:r>
        <w:rPr>
          <w:b/>
          <w:bCs/>
          <w:color w:val="0D2340"/>
          <w:sz w:val="22"/>
          <w:szCs w:val="22"/>
        </w:rPr>
        <w:t xml:space="preserve">Valuation </w:t>
      </w:r>
      <w:proofErr w:type="gramStart"/>
      <w:r>
        <w:rPr>
          <w:b/>
          <w:bCs/>
          <w:color w:val="0D2340"/>
          <w:sz w:val="22"/>
          <w:szCs w:val="22"/>
        </w:rPr>
        <w:t>at a Glance</w:t>
      </w:r>
      <w:proofErr w:type="gram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70843" w14:paraId="1FAA902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0D2340"/>
            <w:tcMar>
              <w:top w:w="80" w:type="dxa"/>
              <w:left w:w="140" w:type="dxa"/>
              <w:bottom w:w="80" w:type="dxa"/>
              <w:right w:w="140" w:type="dxa"/>
            </w:tcMar>
          </w:tcPr>
          <w:p w14:paraId="183D1C9A" w14:textId="77777777" w:rsidR="00470843" w:rsidRDefault="00000000">
            <w:pPr>
              <w:jc w:val="center"/>
            </w:pPr>
            <w:r>
              <w:rPr>
                <w:b/>
                <w:bCs/>
                <w:color w:val="FFFFFF"/>
                <w:sz w:val="18"/>
                <w:szCs w:val="18"/>
              </w:rPr>
              <w:t>Pre-Money Valuation</w:t>
            </w:r>
          </w:p>
        </w:tc>
        <w:tc>
          <w:tcPr>
            <w:tcW w:w="3120" w:type="dxa"/>
            <w:tcBorders>
              <w:top w:val="single" w:sz="1" w:space="0" w:color="CCCCCC"/>
              <w:left w:val="single" w:sz="1" w:space="0" w:color="CCCCCC"/>
              <w:bottom w:val="single" w:sz="1" w:space="0" w:color="CCCCCC"/>
              <w:right w:val="single" w:sz="1" w:space="0" w:color="CCCCCC"/>
            </w:tcBorders>
            <w:shd w:val="clear" w:color="auto" w:fill="0D2340"/>
            <w:tcMar>
              <w:top w:w="80" w:type="dxa"/>
              <w:left w:w="140" w:type="dxa"/>
              <w:bottom w:w="80" w:type="dxa"/>
              <w:right w:w="140" w:type="dxa"/>
            </w:tcMar>
          </w:tcPr>
          <w:p w14:paraId="7B7F0C72" w14:textId="77777777" w:rsidR="00470843" w:rsidRDefault="00000000">
            <w:pPr>
              <w:jc w:val="center"/>
            </w:pPr>
            <w:r>
              <w:rPr>
                <w:b/>
                <w:bCs/>
                <w:color w:val="FFFFFF"/>
                <w:sz w:val="18"/>
                <w:szCs w:val="18"/>
              </w:rPr>
              <w:t>Series A Raise (Target)</w:t>
            </w:r>
          </w:p>
        </w:tc>
        <w:tc>
          <w:tcPr>
            <w:tcW w:w="3120" w:type="dxa"/>
            <w:tcBorders>
              <w:top w:val="single" w:sz="1" w:space="0" w:color="CCCCCC"/>
              <w:left w:val="single" w:sz="1" w:space="0" w:color="CCCCCC"/>
              <w:bottom w:val="single" w:sz="1" w:space="0" w:color="CCCCCC"/>
              <w:right w:val="single" w:sz="1" w:space="0" w:color="CCCCCC"/>
            </w:tcBorders>
            <w:shd w:val="clear" w:color="auto" w:fill="0D2340"/>
            <w:tcMar>
              <w:top w:w="80" w:type="dxa"/>
              <w:left w:w="140" w:type="dxa"/>
              <w:bottom w:w="80" w:type="dxa"/>
              <w:right w:w="140" w:type="dxa"/>
            </w:tcMar>
          </w:tcPr>
          <w:p w14:paraId="540D5CB6" w14:textId="77777777" w:rsidR="00470843" w:rsidRDefault="00000000">
            <w:pPr>
              <w:jc w:val="center"/>
            </w:pPr>
            <w:r>
              <w:rPr>
                <w:b/>
                <w:bCs/>
                <w:color w:val="FFFFFF"/>
                <w:sz w:val="18"/>
                <w:szCs w:val="18"/>
              </w:rPr>
              <w:t>Post-Money Valuation</w:t>
            </w:r>
          </w:p>
        </w:tc>
      </w:tr>
      <w:tr w:rsidR="00470843" w14:paraId="7D32215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40" w:type="dxa"/>
              <w:bottom w:w="100" w:type="dxa"/>
              <w:right w:w="140" w:type="dxa"/>
            </w:tcMar>
          </w:tcPr>
          <w:p w14:paraId="6D69006E" w14:textId="77777777" w:rsidR="00470843" w:rsidRDefault="00000000">
            <w:pPr>
              <w:jc w:val="center"/>
            </w:pPr>
            <w:r>
              <w:rPr>
                <w:b/>
                <w:bCs/>
                <w:color w:val="0D2340"/>
                <w:sz w:val="40"/>
                <w:szCs w:val="40"/>
              </w:rPr>
              <w:t>£120.5M</w:t>
            </w:r>
          </w:p>
        </w:tc>
        <w:tc>
          <w:tcPr>
            <w:tcW w:w="312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40" w:type="dxa"/>
              <w:bottom w:w="100" w:type="dxa"/>
              <w:right w:w="140" w:type="dxa"/>
            </w:tcMar>
          </w:tcPr>
          <w:p w14:paraId="70427B1D" w14:textId="77777777" w:rsidR="00470843" w:rsidRDefault="00000000">
            <w:pPr>
              <w:jc w:val="center"/>
            </w:pPr>
            <w:r>
              <w:rPr>
                <w:b/>
                <w:bCs/>
                <w:color w:val="0D2340"/>
                <w:sz w:val="40"/>
                <w:szCs w:val="40"/>
              </w:rPr>
              <w:t>£20.0M</w:t>
            </w:r>
          </w:p>
        </w:tc>
        <w:tc>
          <w:tcPr>
            <w:tcW w:w="312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40" w:type="dxa"/>
              <w:bottom w:w="100" w:type="dxa"/>
              <w:right w:w="140" w:type="dxa"/>
            </w:tcMar>
          </w:tcPr>
          <w:p w14:paraId="4179EAD1" w14:textId="77777777" w:rsidR="00470843" w:rsidRDefault="00000000">
            <w:pPr>
              <w:jc w:val="center"/>
            </w:pPr>
            <w:r>
              <w:rPr>
                <w:b/>
                <w:bCs/>
                <w:color w:val="0D2340"/>
                <w:sz w:val="40"/>
                <w:szCs w:val="40"/>
              </w:rPr>
              <w:t>£140.5M</w:t>
            </w:r>
          </w:p>
        </w:tc>
      </w:tr>
      <w:tr w:rsidR="00470843" w14:paraId="34E9E076"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07355F59" w14:textId="77777777" w:rsidR="00470843" w:rsidRDefault="00000000">
            <w:pPr>
              <w:jc w:val="center"/>
            </w:pPr>
            <w:r>
              <w:rPr>
                <w:i/>
                <w:iCs/>
                <w:color w:val="1B7A7A"/>
                <w:sz w:val="17"/>
                <w:szCs w:val="17"/>
              </w:rPr>
              <w:t>UCEA effective entry (15% disc.): £102.4M</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259785EB" w14:textId="77777777" w:rsidR="00470843" w:rsidRDefault="00000000">
            <w:pPr>
              <w:jc w:val="center"/>
            </w:pPr>
            <w:r>
              <w:rPr>
                <w:i/>
                <w:iCs/>
                <w:color w:val="1B7A7A"/>
                <w:sz w:val="17"/>
                <w:szCs w:val="17"/>
              </w:rPr>
              <w:t>Implied dilution at £20M: ~14.2%</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40" w:type="dxa"/>
              <w:bottom w:w="80" w:type="dxa"/>
              <w:right w:w="140" w:type="dxa"/>
            </w:tcMar>
          </w:tcPr>
          <w:p w14:paraId="40F93EC5" w14:textId="77777777" w:rsidR="00470843" w:rsidRDefault="00000000">
            <w:pPr>
              <w:jc w:val="center"/>
            </w:pPr>
            <w:r>
              <w:rPr>
                <w:i/>
                <w:iCs/>
                <w:color w:val="1B7A7A"/>
                <w:sz w:val="17"/>
                <w:szCs w:val="17"/>
              </w:rPr>
              <w:t>UCEA effective entry (20% disc.): £96.4M</w:t>
            </w:r>
          </w:p>
        </w:tc>
      </w:tr>
    </w:tbl>
    <w:p w14:paraId="0B54E0FE" w14:textId="77777777" w:rsidR="00470843" w:rsidRDefault="00470843">
      <w:pPr>
        <w:spacing w:before="120"/>
      </w:pPr>
    </w:p>
    <w:p w14:paraId="524826BF" w14:textId="77777777" w:rsidR="00470843" w:rsidRDefault="00470843">
      <w:pPr>
        <w:pBdr>
          <w:bottom w:val="single" w:sz="6" w:space="0" w:color="1B7A7A"/>
        </w:pBd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360"/>
        <w:gridCol w:w="3600"/>
      </w:tblGrid>
      <w:tr w:rsidR="00470843" w14:paraId="34BD6535"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0D2340"/>
            <w:tcMar>
              <w:top w:w="100" w:type="dxa"/>
              <w:left w:w="160" w:type="dxa"/>
              <w:bottom w:w="100" w:type="dxa"/>
              <w:right w:w="160" w:type="dxa"/>
            </w:tcMar>
          </w:tcPr>
          <w:p w14:paraId="35034940" w14:textId="77777777" w:rsidR="00470843" w:rsidRDefault="00000000">
            <w:r>
              <w:rPr>
                <w:b/>
                <w:bCs/>
                <w:color w:val="FFFFFF"/>
                <w:sz w:val="19"/>
                <w:szCs w:val="19"/>
              </w:rPr>
              <w:t>Term</w:t>
            </w:r>
          </w:p>
        </w:tc>
        <w:tc>
          <w:tcPr>
            <w:tcW w:w="3360" w:type="dxa"/>
            <w:tcBorders>
              <w:top w:val="single" w:sz="1" w:space="0" w:color="CCCCCC"/>
              <w:left w:val="single" w:sz="1" w:space="0" w:color="CCCCCC"/>
              <w:bottom w:val="single" w:sz="1" w:space="0" w:color="CCCCCC"/>
              <w:right w:val="single" w:sz="1" w:space="0" w:color="CCCCCC"/>
            </w:tcBorders>
            <w:shd w:val="clear" w:color="auto" w:fill="0D2340"/>
            <w:tcMar>
              <w:top w:w="100" w:type="dxa"/>
              <w:left w:w="160" w:type="dxa"/>
              <w:bottom w:w="100" w:type="dxa"/>
              <w:right w:w="160" w:type="dxa"/>
            </w:tcMar>
          </w:tcPr>
          <w:p w14:paraId="5A1DEA40" w14:textId="77777777" w:rsidR="00470843" w:rsidRDefault="00000000">
            <w:r>
              <w:rPr>
                <w:b/>
                <w:bCs/>
                <w:color w:val="FFFFFF"/>
                <w:sz w:val="19"/>
                <w:szCs w:val="19"/>
              </w:rPr>
              <w:t>GSCX Position</w:t>
            </w:r>
          </w:p>
        </w:tc>
        <w:tc>
          <w:tcPr>
            <w:tcW w:w="3600" w:type="dxa"/>
            <w:tcBorders>
              <w:top w:val="single" w:sz="1" w:space="0" w:color="CCCCCC"/>
              <w:left w:val="single" w:sz="1" w:space="0" w:color="CCCCCC"/>
              <w:bottom w:val="single" w:sz="1" w:space="0" w:color="CCCCCC"/>
              <w:right w:val="single" w:sz="1" w:space="0" w:color="CCCCCC"/>
            </w:tcBorders>
            <w:shd w:val="clear" w:color="auto" w:fill="0D2340"/>
            <w:tcMar>
              <w:top w:w="100" w:type="dxa"/>
              <w:left w:w="160" w:type="dxa"/>
              <w:bottom w:w="100" w:type="dxa"/>
              <w:right w:w="160" w:type="dxa"/>
            </w:tcMar>
          </w:tcPr>
          <w:p w14:paraId="48B07676" w14:textId="77777777" w:rsidR="00470843" w:rsidRDefault="00000000">
            <w:r>
              <w:rPr>
                <w:b/>
                <w:bCs/>
                <w:color w:val="FFFFFF"/>
                <w:sz w:val="19"/>
                <w:szCs w:val="19"/>
              </w:rPr>
              <w:t>Investor Context</w:t>
            </w:r>
          </w:p>
        </w:tc>
      </w:tr>
      <w:tr w:rsidR="00470843" w14:paraId="1FE88C2D" w14:textId="77777777">
        <w:tblPrEx>
          <w:tblCellMar>
            <w:top w:w="0" w:type="dxa"/>
            <w:bottom w:w="0" w:type="dxa"/>
          </w:tblCellMar>
        </w:tblPrEx>
        <w:tc>
          <w:tcPr>
            <w:tcW w:w="9360" w:type="dxa"/>
            <w:gridSpan w:val="3"/>
            <w:tcBorders>
              <w:top w:val="single" w:sz="1" w:space="0" w:color="CCCCCC"/>
              <w:left w:val="none" w:sz="0" w:space="0" w:color="FFFFFF"/>
              <w:bottom w:val="none" w:sz="0" w:space="0" w:color="FFFFFF"/>
              <w:right w:val="none" w:sz="0" w:space="0" w:color="FFFFFF"/>
            </w:tcBorders>
            <w:shd w:val="clear" w:color="auto" w:fill="0D2340"/>
            <w:tcMar>
              <w:top w:w="80" w:type="dxa"/>
              <w:left w:w="160" w:type="dxa"/>
              <w:bottom w:w="80" w:type="dxa"/>
              <w:right w:w="160" w:type="dxa"/>
            </w:tcMar>
          </w:tcPr>
          <w:p w14:paraId="60E08203" w14:textId="77777777" w:rsidR="00470843" w:rsidRDefault="00000000">
            <w:r>
              <w:rPr>
                <w:b/>
                <w:bCs/>
                <w:color w:val="FFFFFF"/>
                <w:spacing w:val="30"/>
                <w:sz w:val="17"/>
                <w:szCs w:val="17"/>
              </w:rPr>
              <w:t>TRANSACTION TERMS</w:t>
            </w:r>
          </w:p>
        </w:tc>
      </w:tr>
      <w:tr w:rsidR="00470843" w14:paraId="302F1CD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37566115" w14:textId="77777777" w:rsidR="00470843" w:rsidRDefault="00000000">
            <w:r>
              <w:rPr>
                <w:b/>
                <w:bCs/>
                <w:color w:val="0D2340"/>
                <w:sz w:val="19"/>
                <w:szCs w:val="19"/>
              </w:rPr>
              <w:t>Issuer</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7D72817" w14:textId="77777777" w:rsidR="00470843" w:rsidRDefault="00000000">
            <w:r>
              <w:rPr>
                <w:color w:val="1A1A1A"/>
              </w:rPr>
              <w:t>GSCX Holdings Ltd</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6429BC71" w14:textId="77777777" w:rsidR="00470843" w:rsidRDefault="00000000">
            <w:r>
              <w:rPr>
                <w:i/>
                <w:iCs/>
                <w:color w:val="1B7A7A"/>
                <w:sz w:val="18"/>
                <w:szCs w:val="18"/>
              </w:rPr>
              <w:t>Incorporated in Hamilton, Bermuda</w:t>
            </w:r>
          </w:p>
        </w:tc>
      </w:tr>
      <w:tr w:rsidR="00470843" w14:paraId="154545F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A71F2CB" w14:textId="77777777" w:rsidR="00470843" w:rsidRDefault="00000000">
            <w:r>
              <w:rPr>
                <w:b/>
                <w:bCs/>
                <w:color w:val="0D2340"/>
                <w:sz w:val="19"/>
                <w:szCs w:val="19"/>
              </w:rPr>
              <w:t>Round</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07C204D" w14:textId="77777777" w:rsidR="00470843" w:rsidRDefault="00000000">
            <w:r>
              <w:rPr>
                <w:color w:val="1A1A1A"/>
              </w:rPr>
              <w:t>Series A</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4EFF98C" w14:textId="77777777" w:rsidR="00470843" w:rsidRDefault="00000000">
            <w:r>
              <w:rPr>
                <w:i/>
                <w:iCs/>
                <w:color w:val="1B7A7A"/>
                <w:sz w:val="18"/>
                <w:szCs w:val="18"/>
              </w:rPr>
              <w:t>First institutional capital raise</w:t>
            </w:r>
          </w:p>
        </w:tc>
      </w:tr>
      <w:tr w:rsidR="00470843" w14:paraId="6B026E6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1D99702B" w14:textId="77777777" w:rsidR="00470843" w:rsidRDefault="00000000">
            <w:r>
              <w:rPr>
                <w:b/>
                <w:bCs/>
                <w:color w:val="0D2340"/>
                <w:sz w:val="19"/>
                <w:szCs w:val="19"/>
              </w:rPr>
              <w:t>Minimum Raise</w:t>
            </w:r>
          </w:p>
        </w:tc>
        <w:tc>
          <w:tcPr>
            <w:tcW w:w="336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60" w:type="dxa"/>
              <w:bottom w:w="100" w:type="dxa"/>
              <w:right w:w="160" w:type="dxa"/>
            </w:tcMar>
          </w:tcPr>
          <w:p w14:paraId="2270E2E3" w14:textId="77777777" w:rsidR="00470843" w:rsidRDefault="00000000">
            <w:r>
              <w:rPr>
                <w:b/>
                <w:bCs/>
                <w:color w:val="0D2340"/>
                <w:sz w:val="22"/>
                <w:szCs w:val="22"/>
              </w:rPr>
              <w:t>£15,000,000</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FBCD9F5" w14:textId="77777777" w:rsidR="00470843" w:rsidRDefault="00000000">
            <w:r>
              <w:rPr>
                <w:i/>
                <w:iCs/>
                <w:color w:val="1B7A7A"/>
                <w:sz w:val="18"/>
                <w:szCs w:val="18"/>
              </w:rPr>
              <w:t>Funds Bermuda MVP: IBM infrastructure, Class M licensing, custody and trust build, pilot transactions</w:t>
            </w:r>
          </w:p>
        </w:tc>
      </w:tr>
      <w:tr w:rsidR="00470843" w14:paraId="4EE3444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7519265" w14:textId="77777777" w:rsidR="00470843" w:rsidRDefault="00000000">
            <w:r>
              <w:rPr>
                <w:b/>
                <w:bCs/>
                <w:color w:val="0D2340"/>
                <w:sz w:val="19"/>
                <w:szCs w:val="19"/>
              </w:rPr>
              <w:t>Target Raise</w:t>
            </w:r>
          </w:p>
        </w:tc>
        <w:tc>
          <w:tcPr>
            <w:tcW w:w="336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60" w:type="dxa"/>
              <w:bottom w:w="100" w:type="dxa"/>
              <w:right w:w="160" w:type="dxa"/>
            </w:tcMar>
          </w:tcPr>
          <w:p w14:paraId="6F6A2300" w14:textId="77777777" w:rsidR="00470843" w:rsidRDefault="00000000">
            <w:r>
              <w:rPr>
                <w:b/>
                <w:bCs/>
                <w:color w:val="0D2340"/>
                <w:sz w:val="22"/>
                <w:szCs w:val="22"/>
              </w:rPr>
              <w:t>£20,000,000</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5CDAFEF" w14:textId="77777777" w:rsidR="00470843" w:rsidRDefault="00000000">
            <w:r>
              <w:rPr>
                <w:i/>
                <w:iCs/>
                <w:color w:val="1B7A7A"/>
                <w:sz w:val="18"/>
                <w:szCs w:val="18"/>
              </w:rPr>
              <w:t>Adds expansion planning, enhanced regulatory capital reserves, accelerated institutional onboarding</w:t>
            </w:r>
          </w:p>
        </w:tc>
      </w:tr>
      <w:tr w:rsidR="00470843" w14:paraId="3735F4D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7FBE690C" w14:textId="77777777" w:rsidR="00470843" w:rsidRDefault="00000000">
            <w:r>
              <w:rPr>
                <w:b/>
                <w:bCs/>
                <w:color w:val="0D2340"/>
                <w:sz w:val="19"/>
                <w:szCs w:val="19"/>
              </w:rPr>
              <w:t>Pre-Money Valuation</w:t>
            </w:r>
          </w:p>
        </w:tc>
        <w:tc>
          <w:tcPr>
            <w:tcW w:w="336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60" w:type="dxa"/>
              <w:bottom w:w="100" w:type="dxa"/>
              <w:right w:w="160" w:type="dxa"/>
            </w:tcMar>
          </w:tcPr>
          <w:p w14:paraId="46D0DFBB" w14:textId="77777777" w:rsidR="00470843" w:rsidRDefault="00000000">
            <w:r>
              <w:rPr>
                <w:b/>
                <w:bCs/>
                <w:color w:val="0D2340"/>
                <w:sz w:val="22"/>
                <w:szCs w:val="22"/>
              </w:rPr>
              <w:t>£120,500,000</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623D1D6" w14:textId="77777777" w:rsidR="00470843" w:rsidRDefault="00000000">
            <w:r>
              <w:rPr>
                <w:i/>
                <w:iCs/>
                <w:color w:val="1B7A7A"/>
                <w:sz w:val="18"/>
                <w:szCs w:val="18"/>
              </w:rPr>
              <w:t>Supported by comparable company analysis. Full rationale in Comparable Company Memo, June 2026.</w:t>
            </w:r>
          </w:p>
        </w:tc>
      </w:tr>
      <w:tr w:rsidR="00470843" w14:paraId="756B3D7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BFE4D0C" w14:textId="77777777" w:rsidR="00470843" w:rsidRDefault="00000000">
            <w:r>
              <w:rPr>
                <w:b/>
                <w:bCs/>
                <w:color w:val="0D2340"/>
                <w:sz w:val="19"/>
                <w:szCs w:val="19"/>
              </w:rPr>
              <w:t>Post-Money Valuation</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5DE8BA4" w14:textId="77777777" w:rsidR="00470843" w:rsidRDefault="00000000">
            <w:r>
              <w:rPr>
                <w:color w:val="1A1A1A"/>
              </w:rPr>
              <w:t>£135.5M (£15M raise) / £140.5M (£20M raise)</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59FFAF4" w14:textId="77777777" w:rsidR="00470843" w:rsidRDefault="00000000">
            <w:r>
              <w:rPr>
                <w:i/>
                <w:iCs/>
                <w:color w:val="1B7A7A"/>
                <w:sz w:val="18"/>
                <w:szCs w:val="18"/>
              </w:rPr>
              <w:t xml:space="preserve">Implied dilution: ~9.9% </w:t>
            </w:r>
            <w:proofErr w:type="gramStart"/>
            <w:r>
              <w:rPr>
                <w:i/>
                <w:iCs/>
                <w:color w:val="1B7A7A"/>
                <w:sz w:val="18"/>
                <w:szCs w:val="18"/>
              </w:rPr>
              <w:t>at £15M raise</w:t>
            </w:r>
            <w:proofErr w:type="gramEnd"/>
            <w:r>
              <w:rPr>
                <w:i/>
                <w:iCs/>
                <w:color w:val="1B7A7A"/>
                <w:sz w:val="18"/>
                <w:szCs w:val="18"/>
              </w:rPr>
              <w:t>; ~14.2% at £20M raise</w:t>
            </w:r>
          </w:p>
        </w:tc>
      </w:tr>
      <w:tr w:rsidR="00470843" w14:paraId="3B8785CE"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2E216AAD" w14:textId="77777777" w:rsidR="00470843" w:rsidRDefault="00000000">
            <w:r>
              <w:rPr>
                <w:b/>
                <w:bCs/>
                <w:color w:val="0D2340"/>
                <w:sz w:val="19"/>
                <w:szCs w:val="19"/>
              </w:rPr>
              <w:t>Instrument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306391A" w14:textId="77777777" w:rsidR="00470843" w:rsidRDefault="00000000">
            <w:r>
              <w:rPr>
                <w:color w:val="1A1A1A"/>
              </w:rPr>
              <w:t>Equity — Preferred Shares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30C97483" w14:textId="77777777" w:rsidR="00470843" w:rsidRDefault="00000000">
            <w:r>
              <w:rPr>
                <w:i/>
                <w:iCs/>
                <w:color w:val="1B7A7A"/>
                <w:sz w:val="18"/>
                <w:szCs w:val="18"/>
              </w:rPr>
              <w:t>Preferences and anti-dilution provisions to be confirmed in definitive documentation</w:t>
            </w:r>
          </w:p>
        </w:tc>
      </w:tr>
      <w:tr w:rsidR="00470843" w14:paraId="6513017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924FCDC" w14:textId="77777777" w:rsidR="00470843" w:rsidRDefault="00000000">
            <w:r>
              <w:rPr>
                <w:b/>
                <w:bCs/>
                <w:color w:val="0D2340"/>
                <w:sz w:val="19"/>
                <w:szCs w:val="19"/>
              </w:rPr>
              <w:t>Use of Proceeds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7B0579A2" w14:textId="77777777" w:rsidR="00470843" w:rsidRDefault="00000000">
            <w:r>
              <w:rPr>
                <w:color w:val="1A1A1A"/>
              </w:rPr>
              <w:t>IBM infrastructure, regulatory licensing, technology, compliance, custody &amp; trust, team, business development, regulatory capital reserves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1C182368" w14:textId="77777777" w:rsidR="00470843" w:rsidRDefault="00000000">
            <w:r>
              <w:rPr>
                <w:i/>
                <w:iCs/>
                <w:color w:val="1B7A7A"/>
                <w:sz w:val="18"/>
                <w:szCs w:val="18"/>
              </w:rPr>
              <w:t>Detailed allocation per Capital Allocation Memorandum (Doc 2.2)</w:t>
            </w:r>
          </w:p>
        </w:tc>
      </w:tr>
      <w:tr w:rsidR="00470843" w14:paraId="189518F3" w14:textId="77777777">
        <w:tblPrEx>
          <w:tblCellMar>
            <w:top w:w="0" w:type="dxa"/>
            <w:bottom w:w="0" w:type="dxa"/>
          </w:tblCellMar>
        </w:tblPrEx>
        <w:tc>
          <w:tcPr>
            <w:tcW w:w="9360" w:type="dxa"/>
            <w:gridSpan w:val="3"/>
            <w:tcBorders>
              <w:top w:val="single" w:sz="1" w:space="0" w:color="CCCCCC"/>
              <w:left w:val="none" w:sz="0" w:space="0" w:color="FFFFFF"/>
              <w:bottom w:val="none" w:sz="0" w:space="0" w:color="FFFFFF"/>
              <w:right w:val="none" w:sz="0" w:space="0" w:color="FFFFFF"/>
            </w:tcBorders>
            <w:shd w:val="clear" w:color="auto" w:fill="0D2340"/>
            <w:tcMar>
              <w:top w:w="80" w:type="dxa"/>
              <w:left w:w="160" w:type="dxa"/>
              <w:bottom w:w="80" w:type="dxa"/>
              <w:right w:w="160" w:type="dxa"/>
            </w:tcMar>
          </w:tcPr>
          <w:p w14:paraId="252BB395" w14:textId="77777777" w:rsidR="00470843" w:rsidRDefault="00000000">
            <w:r>
              <w:rPr>
                <w:b/>
                <w:bCs/>
                <w:color w:val="FFFFFF"/>
                <w:spacing w:val="30"/>
                <w:sz w:val="17"/>
                <w:szCs w:val="17"/>
              </w:rPr>
              <w:t>UCEA / FAMILY OFFICE SPECIFIC TERMS</w:t>
            </w:r>
          </w:p>
        </w:tc>
      </w:tr>
      <w:tr w:rsidR="00470843" w14:paraId="6679B129"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2AEAD023" w14:textId="77777777" w:rsidR="00470843" w:rsidRDefault="00000000">
            <w:r>
              <w:rPr>
                <w:b/>
                <w:bCs/>
                <w:color w:val="0D2340"/>
                <w:sz w:val="19"/>
                <w:szCs w:val="19"/>
              </w:rPr>
              <w:t>UCEA Investor Discount</w:t>
            </w:r>
          </w:p>
        </w:tc>
        <w:tc>
          <w:tcPr>
            <w:tcW w:w="336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60" w:type="dxa"/>
              <w:bottom w:w="100" w:type="dxa"/>
              <w:right w:w="160" w:type="dxa"/>
            </w:tcMar>
          </w:tcPr>
          <w:p w14:paraId="0D3F887D" w14:textId="77777777" w:rsidR="00470843" w:rsidRDefault="00000000">
            <w:r>
              <w:rPr>
                <w:b/>
                <w:bCs/>
                <w:color w:val="0D2340"/>
                <w:sz w:val="22"/>
                <w:szCs w:val="22"/>
              </w:rPr>
              <w:t>15%–20% on pre-money valuation</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963D89C" w14:textId="77777777" w:rsidR="00470843" w:rsidRDefault="00000000">
            <w:r>
              <w:rPr>
                <w:i/>
                <w:iCs/>
                <w:color w:val="1B7A7A"/>
                <w:sz w:val="18"/>
                <w:szCs w:val="18"/>
              </w:rPr>
              <w:t>Anchor investor recognition. Effective entry at £96.4M–£102.4M. Consistent with institutional anchor investor practice.</w:t>
            </w:r>
          </w:p>
        </w:tc>
      </w:tr>
      <w:tr w:rsidR="00470843" w14:paraId="23129C0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658E5F96" w14:textId="77777777" w:rsidR="00470843" w:rsidRDefault="00000000">
            <w:r>
              <w:rPr>
                <w:b/>
                <w:bCs/>
                <w:color w:val="0D2340"/>
                <w:sz w:val="19"/>
                <w:szCs w:val="19"/>
              </w:rPr>
              <w:lastRenderedPageBreak/>
              <w:t>Effective Entry Range</w:t>
            </w:r>
          </w:p>
        </w:tc>
        <w:tc>
          <w:tcPr>
            <w:tcW w:w="336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60" w:type="dxa"/>
              <w:bottom w:w="100" w:type="dxa"/>
              <w:right w:w="160" w:type="dxa"/>
            </w:tcMar>
          </w:tcPr>
          <w:p w14:paraId="21F5FAB3" w14:textId="77777777" w:rsidR="00470843" w:rsidRDefault="00000000">
            <w:r>
              <w:rPr>
                <w:b/>
                <w:bCs/>
                <w:color w:val="0D2340"/>
                <w:sz w:val="22"/>
                <w:szCs w:val="22"/>
              </w:rPr>
              <w:t>£96.4M (20% disc.) – £102.4M (15% disc.)</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749F6C82" w14:textId="77777777" w:rsidR="00470843" w:rsidRDefault="00000000">
            <w:r>
              <w:rPr>
                <w:i/>
                <w:iCs/>
                <w:color w:val="1B7A7A"/>
                <w:sz w:val="18"/>
                <w:szCs w:val="18"/>
              </w:rPr>
              <w:t>Represents meaningful value creation potential vs. blended £100–130M comparable range</w:t>
            </w:r>
          </w:p>
        </w:tc>
      </w:tr>
      <w:tr w:rsidR="00470843" w14:paraId="4881B8A7"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1BF7B80B" w14:textId="77777777" w:rsidR="00470843" w:rsidRDefault="00000000">
            <w:r>
              <w:rPr>
                <w:b/>
                <w:bCs/>
                <w:color w:val="0D2340"/>
                <w:sz w:val="19"/>
                <w:szCs w:val="19"/>
              </w:rPr>
              <w:t>Syndication Structure</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95C4422" w14:textId="77777777" w:rsidR="00470843" w:rsidRDefault="00000000">
            <w:r>
              <w:rPr>
                <w:color w:val="1A1A1A"/>
              </w:rPr>
              <w:t>UCEA-led, via UCEA Capital Group family office network</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33AE806E" w14:textId="77777777" w:rsidR="00470843" w:rsidRDefault="00000000">
            <w:r>
              <w:rPr>
                <w:i/>
                <w:iCs/>
                <w:color w:val="1B7A7A"/>
                <w:sz w:val="18"/>
                <w:szCs w:val="18"/>
              </w:rPr>
              <w:t>UCEA to coordinate investor participation. NCNDAs in place with investor base.</w:t>
            </w:r>
          </w:p>
        </w:tc>
      </w:tr>
      <w:tr w:rsidR="00470843" w14:paraId="5512138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395BD74" w14:textId="77777777" w:rsidR="00470843" w:rsidRDefault="00000000">
            <w:r>
              <w:rPr>
                <w:b/>
                <w:bCs/>
                <w:color w:val="0D2340"/>
                <w:sz w:val="19"/>
                <w:szCs w:val="19"/>
              </w:rPr>
              <w:t>Minimum Ticket Size</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291DC5E" w14:textId="77777777" w:rsidR="00470843" w:rsidRDefault="00000000">
            <w:r>
              <w:rPr>
                <w:color w:val="1A1A1A"/>
              </w:rPr>
              <w:t>To be confirmed in term sheet</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00BFB1BB" w14:textId="77777777" w:rsidR="00470843" w:rsidRDefault="00000000">
            <w:r>
              <w:rPr>
                <w:i/>
                <w:iCs/>
                <w:color w:val="1B7A7A"/>
                <w:sz w:val="18"/>
                <w:szCs w:val="18"/>
              </w:rPr>
              <w:t>Expected range: consistent with UCEA family office participation norms</w:t>
            </w:r>
          </w:p>
        </w:tc>
      </w:tr>
      <w:tr w:rsidR="00470843" w14:paraId="1E484C4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3183C530" w14:textId="77777777" w:rsidR="00470843" w:rsidRDefault="00000000">
            <w:r>
              <w:rPr>
                <w:b/>
                <w:bCs/>
                <w:color w:val="0D2340"/>
                <w:sz w:val="19"/>
                <w:szCs w:val="19"/>
              </w:rPr>
              <w:t>Strategic Participation</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73088A6" w14:textId="77777777" w:rsidR="00470843" w:rsidRDefault="00000000">
            <w:r>
              <w:rPr>
                <w:color w:val="1A1A1A"/>
              </w:rPr>
              <w:t>UCEA investors receive founding ecosystem participant status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0BF7035A" w14:textId="77777777" w:rsidR="00470843" w:rsidRDefault="00000000">
            <w:r>
              <w:rPr>
                <w:i/>
                <w:iCs/>
                <w:color w:val="1B7A7A"/>
                <w:sz w:val="18"/>
                <w:szCs w:val="18"/>
              </w:rPr>
              <w:t xml:space="preserve">Priority access to GSCX platform for trade execution, settlement, </w:t>
            </w:r>
            <w:proofErr w:type="spellStart"/>
            <w:r>
              <w:rPr>
                <w:i/>
                <w:iCs/>
                <w:color w:val="1B7A7A"/>
                <w:sz w:val="18"/>
                <w:szCs w:val="18"/>
              </w:rPr>
              <w:t>tokenisation</w:t>
            </w:r>
            <w:proofErr w:type="spellEnd"/>
            <w:r>
              <w:rPr>
                <w:i/>
                <w:iCs/>
                <w:color w:val="1B7A7A"/>
                <w:sz w:val="18"/>
                <w:szCs w:val="18"/>
              </w:rPr>
              <w:t xml:space="preserve"> services and institutional data products</w:t>
            </w:r>
          </w:p>
        </w:tc>
      </w:tr>
      <w:tr w:rsidR="00470843" w14:paraId="39A80AFD" w14:textId="77777777">
        <w:tblPrEx>
          <w:tblCellMar>
            <w:top w:w="0" w:type="dxa"/>
            <w:bottom w:w="0" w:type="dxa"/>
          </w:tblCellMar>
        </w:tblPrEx>
        <w:tc>
          <w:tcPr>
            <w:tcW w:w="9360" w:type="dxa"/>
            <w:gridSpan w:val="3"/>
            <w:tcBorders>
              <w:top w:val="single" w:sz="1" w:space="0" w:color="CCCCCC"/>
              <w:left w:val="none" w:sz="0" w:space="0" w:color="FFFFFF"/>
              <w:bottom w:val="none" w:sz="0" w:space="0" w:color="FFFFFF"/>
              <w:right w:val="none" w:sz="0" w:space="0" w:color="FFFFFF"/>
            </w:tcBorders>
            <w:shd w:val="clear" w:color="auto" w:fill="0D2340"/>
            <w:tcMar>
              <w:top w:w="80" w:type="dxa"/>
              <w:left w:w="160" w:type="dxa"/>
              <w:bottom w:w="80" w:type="dxa"/>
              <w:right w:w="160" w:type="dxa"/>
            </w:tcMar>
          </w:tcPr>
          <w:p w14:paraId="56A2ABDC" w14:textId="77777777" w:rsidR="00470843" w:rsidRDefault="00000000">
            <w:r>
              <w:rPr>
                <w:b/>
                <w:bCs/>
                <w:color w:val="FFFFFF"/>
                <w:spacing w:val="30"/>
                <w:sz w:val="17"/>
                <w:szCs w:val="17"/>
              </w:rPr>
              <w:t>GOVERNANCE &amp; RIGHTS</w:t>
            </w:r>
          </w:p>
        </w:tc>
      </w:tr>
      <w:tr w:rsidR="00470843" w14:paraId="1617A5E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7EBA4D3E" w14:textId="77777777" w:rsidR="00470843" w:rsidRDefault="00000000">
            <w:r>
              <w:rPr>
                <w:b/>
                <w:bCs/>
                <w:color w:val="0D2340"/>
                <w:sz w:val="19"/>
                <w:szCs w:val="19"/>
              </w:rPr>
              <w:t>Board Representation</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C3252B6" w14:textId="77777777" w:rsidR="00470843" w:rsidRDefault="00000000">
            <w:r>
              <w:rPr>
                <w:color w:val="1A1A1A"/>
              </w:rPr>
              <w:t>To be confirmed in definitive documentation</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419BEE74" w14:textId="77777777" w:rsidR="00470843" w:rsidRDefault="00000000">
            <w:r>
              <w:rPr>
                <w:i/>
                <w:iCs/>
                <w:color w:val="1B7A7A"/>
                <w:sz w:val="18"/>
                <w:szCs w:val="18"/>
              </w:rPr>
              <w:t>GSCX open to appropriate board observer or director rights for lead investor</w:t>
            </w:r>
          </w:p>
        </w:tc>
      </w:tr>
      <w:tr w:rsidR="00470843" w14:paraId="4C01273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444F0AE" w14:textId="77777777" w:rsidR="00470843" w:rsidRDefault="00000000">
            <w:r>
              <w:rPr>
                <w:b/>
                <w:bCs/>
                <w:color w:val="0D2340"/>
                <w:sz w:val="19"/>
                <w:szCs w:val="19"/>
              </w:rPr>
              <w:t>Information Rights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3D2018E" w14:textId="77777777" w:rsidR="00470843" w:rsidRDefault="00000000">
            <w:r>
              <w:rPr>
                <w:color w:val="1A1A1A"/>
              </w:rPr>
              <w:t>Quarterly reporting. Annual audited accounts.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2A925CDC" w14:textId="77777777" w:rsidR="00470843" w:rsidRDefault="00000000">
            <w:r>
              <w:rPr>
                <w:i/>
                <w:iCs/>
                <w:color w:val="1B7A7A"/>
                <w:sz w:val="18"/>
                <w:szCs w:val="18"/>
              </w:rPr>
              <w:t>Standard institutional information package</w:t>
            </w:r>
          </w:p>
        </w:tc>
      </w:tr>
      <w:tr w:rsidR="00470843" w14:paraId="43F3F5D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6349FA70" w14:textId="77777777" w:rsidR="00470843" w:rsidRDefault="00000000">
            <w:r>
              <w:rPr>
                <w:b/>
                <w:bCs/>
                <w:color w:val="0D2340"/>
                <w:sz w:val="19"/>
                <w:szCs w:val="19"/>
              </w:rPr>
              <w:t>Pro-Rata Rights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81980E4" w14:textId="77777777" w:rsidR="00470843" w:rsidRDefault="00000000">
            <w:r>
              <w:rPr>
                <w:color w:val="1A1A1A"/>
              </w:rPr>
              <w:t>To be confirmed</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75727B60" w14:textId="77777777" w:rsidR="00470843" w:rsidRDefault="00000000">
            <w:r>
              <w:rPr>
                <w:i/>
                <w:iCs/>
                <w:color w:val="1B7A7A"/>
                <w:sz w:val="18"/>
                <w:szCs w:val="18"/>
              </w:rPr>
              <w:t>GSCX expects to offer pro-rata participation rights in future raises to Series A investors</w:t>
            </w:r>
          </w:p>
        </w:tc>
      </w:tr>
      <w:tr w:rsidR="00470843" w14:paraId="3E189EC9"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12AABD9" w14:textId="77777777" w:rsidR="00470843" w:rsidRDefault="00000000">
            <w:r>
              <w:rPr>
                <w:b/>
                <w:bCs/>
                <w:color w:val="0D2340"/>
                <w:sz w:val="19"/>
                <w:szCs w:val="19"/>
              </w:rPr>
              <w:t>Anti-Dilution</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D0F5189" w14:textId="77777777" w:rsidR="00470843" w:rsidRDefault="00000000">
            <w:r>
              <w:rPr>
                <w:color w:val="1A1A1A"/>
              </w:rPr>
              <w:t>To be confirmed</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2FB7ED55" w14:textId="77777777" w:rsidR="00470843" w:rsidRDefault="00000000">
            <w:r>
              <w:rPr>
                <w:i/>
                <w:iCs/>
                <w:color w:val="1B7A7A"/>
                <w:sz w:val="18"/>
                <w:szCs w:val="18"/>
              </w:rPr>
              <w:t>Standard broad-based weighted average anti-dilution expected</w:t>
            </w:r>
          </w:p>
        </w:tc>
      </w:tr>
      <w:tr w:rsidR="00470843" w14:paraId="7A30AA8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519054BE" w14:textId="77777777" w:rsidR="00470843" w:rsidRDefault="00000000">
            <w:r>
              <w:rPr>
                <w:b/>
                <w:bCs/>
                <w:color w:val="0D2340"/>
                <w:sz w:val="19"/>
                <w:szCs w:val="19"/>
              </w:rPr>
              <w:t>Lock-Up</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90FE10E" w14:textId="77777777" w:rsidR="00470843" w:rsidRDefault="00000000">
            <w:r>
              <w:rPr>
                <w:color w:val="1A1A1A"/>
              </w:rPr>
              <w:t>To be confirmed</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61399C5E" w14:textId="77777777" w:rsidR="00470843" w:rsidRDefault="00000000">
            <w:r>
              <w:rPr>
                <w:i/>
                <w:iCs/>
                <w:color w:val="1B7A7A"/>
                <w:sz w:val="18"/>
                <w:szCs w:val="18"/>
              </w:rPr>
              <w:t>Consistent with Series A market practice for regulated infrastructure platforms</w:t>
            </w:r>
          </w:p>
        </w:tc>
      </w:tr>
      <w:tr w:rsidR="00470843" w14:paraId="0D480E4F" w14:textId="77777777">
        <w:tblPrEx>
          <w:tblCellMar>
            <w:top w:w="0" w:type="dxa"/>
            <w:bottom w:w="0" w:type="dxa"/>
          </w:tblCellMar>
        </w:tblPrEx>
        <w:tc>
          <w:tcPr>
            <w:tcW w:w="9360" w:type="dxa"/>
            <w:gridSpan w:val="3"/>
            <w:tcBorders>
              <w:top w:val="single" w:sz="1" w:space="0" w:color="CCCCCC"/>
              <w:left w:val="none" w:sz="0" w:space="0" w:color="FFFFFF"/>
              <w:bottom w:val="none" w:sz="0" w:space="0" w:color="FFFFFF"/>
              <w:right w:val="none" w:sz="0" w:space="0" w:color="FFFFFF"/>
            </w:tcBorders>
            <w:shd w:val="clear" w:color="auto" w:fill="0D2340"/>
            <w:tcMar>
              <w:top w:w="80" w:type="dxa"/>
              <w:left w:w="160" w:type="dxa"/>
              <w:bottom w:w="80" w:type="dxa"/>
              <w:right w:w="160" w:type="dxa"/>
            </w:tcMar>
          </w:tcPr>
          <w:p w14:paraId="380AB17E" w14:textId="77777777" w:rsidR="00470843" w:rsidRDefault="00000000">
            <w:r>
              <w:rPr>
                <w:b/>
                <w:bCs/>
                <w:color w:val="FFFFFF"/>
                <w:spacing w:val="30"/>
                <w:sz w:val="17"/>
                <w:szCs w:val="17"/>
              </w:rPr>
              <w:t>CAPITAL DEPLOYMENT &amp; MILESTONES</w:t>
            </w:r>
          </w:p>
        </w:tc>
      </w:tr>
      <w:tr w:rsidR="00470843" w14:paraId="057A71E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059B6E1" w14:textId="77777777" w:rsidR="00470843" w:rsidRDefault="00000000">
            <w:r>
              <w:rPr>
                <w:b/>
                <w:bCs/>
                <w:color w:val="0D2340"/>
                <w:sz w:val="19"/>
                <w:szCs w:val="19"/>
              </w:rPr>
              <w:t>Months 0–3</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CC9A8D6" w14:textId="77777777" w:rsidR="00470843" w:rsidRDefault="00000000">
            <w:r>
              <w:rPr>
                <w:color w:val="1A1A1A"/>
              </w:rPr>
              <w:t>Regulatory Foundation</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4F5EDE14" w14:textId="77777777" w:rsidR="00470843" w:rsidRDefault="00000000">
            <w:r>
              <w:rPr>
                <w:i/>
                <w:iCs/>
                <w:color w:val="1B7A7A"/>
                <w:sz w:val="18"/>
                <w:szCs w:val="18"/>
              </w:rPr>
              <w:t xml:space="preserve">Bermuda Class M pathway established. IBM infrastructure deployment initiated. Legal entities </w:t>
            </w:r>
            <w:proofErr w:type="spellStart"/>
            <w:r>
              <w:rPr>
                <w:i/>
                <w:iCs/>
                <w:color w:val="1B7A7A"/>
                <w:sz w:val="18"/>
                <w:szCs w:val="18"/>
              </w:rPr>
              <w:t>formalised</w:t>
            </w:r>
            <w:proofErr w:type="spellEnd"/>
            <w:r>
              <w:rPr>
                <w:i/>
                <w:iCs/>
                <w:color w:val="1B7A7A"/>
                <w:sz w:val="18"/>
                <w:szCs w:val="18"/>
              </w:rPr>
              <w:t>.</w:t>
            </w:r>
          </w:p>
        </w:tc>
      </w:tr>
      <w:tr w:rsidR="00470843" w14:paraId="4CC5DFC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4571173E" w14:textId="77777777" w:rsidR="00470843" w:rsidRDefault="00000000">
            <w:r>
              <w:rPr>
                <w:b/>
                <w:bCs/>
                <w:color w:val="0D2340"/>
                <w:sz w:val="19"/>
                <w:szCs w:val="19"/>
              </w:rPr>
              <w:t>Months 4–6</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E957B52" w14:textId="77777777" w:rsidR="00470843" w:rsidRDefault="00000000">
            <w:r>
              <w:rPr>
                <w:color w:val="1A1A1A"/>
              </w:rPr>
              <w:t>Infrastructure Build</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67A8AB70" w14:textId="77777777" w:rsidR="00470843" w:rsidRDefault="00000000">
            <w:r>
              <w:rPr>
                <w:i/>
                <w:iCs/>
                <w:color w:val="1B7A7A"/>
                <w:sz w:val="18"/>
                <w:szCs w:val="18"/>
              </w:rPr>
              <w:t>Settlement, custody and trust frameworks operational. Internal testing completed.</w:t>
            </w:r>
          </w:p>
        </w:tc>
      </w:tr>
      <w:tr w:rsidR="00470843" w14:paraId="70D87FF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E277577" w14:textId="77777777" w:rsidR="00470843" w:rsidRDefault="00000000">
            <w:r>
              <w:rPr>
                <w:b/>
                <w:bCs/>
                <w:color w:val="0D2340"/>
                <w:sz w:val="19"/>
                <w:szCs w:val="19"/>
              </w:rPr>
              <w:t>Months 7–12</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AD246B3" w14:textId="77777777" w:rsidR="00470843" w:rsidRDefault="00000000">
            <w:r>
              <w:rPr>
                <w:color w:val="1A1A1A"/>
              </w:rPr>
              <w:t>Class M Validation</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FEF0D27" w14:textId="77777777" w:rsidR="00470843" w:rsidRDefault="00000000">
            <w:r>
              <w:rPr>
                <w:i/>
                <w:iCs/>
                <w:color w:val="1B7A7A"/>
                <w:sz w:val="18"/>
                <w:szCs w:val="18"/>
              </w:rPr>
              <w:t>Pilot transactions executed. Founding institutional members onboarded.</w:t>
            </w:r>
          </w:p>
        </w:tc>
      </w:tr>
      <w:tr w:rsidR="00470843" w14:paraId="01C9DC6F"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3CB2D930" w14:textId="77777777" w:rsidR="00470843" w:rsidRDefault="00000000">
            <w:r>
              <w:rPr>
                <w:b/>
                <w:bCs/>
                <w:color w:val="0D2340"/>
                <w:sz w:val="19"/>
                <w:szCs w:val="19"/>
              </w:rPr>
              <w:t>Months 13–18</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442DCFB" w14:textId="77777777" w:rsidR="00470843" w:rsidRDefault="00000000">
            <w:r>
              <w:rPr>
                <w:color w:val="1A1A1A"/>
              </w:rPr>
              <w:t>Class F &amp; Commercial Launch</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04245B29" w14:textId="77777777" w:rsidR="00470843" w:rsidRDefault="00000000">
            <w:r>
              <w:rPr>
                <w:i/>
                <w:iCs/>
                <w:color w:val="1B7A7A"/>
                <w:sz w:val="18"/>
                <w:szCs w:val="18"/>
              </w:rPr>
              <w:t>Full commercial operations. Recurring revenue activated.</w:t>
            </w:r>
          </w:p>
        </w:tc>
      </w:tr>
      <w:tr w:rsidR="00470843" w14:paraId="115910AF"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381A4C11" w14:textId="77777777" w:rsidR="00470843" w:rsidRDefault="00000000">
            <w:r>
              <w:rPr>
                <w:b/>
                <w:bCs/>
                <w:color w:val="0D2340"/>
                <w:sz w:val="19"/>
                <w:szCs w:val="19"/>
              </w:rPr>
              <w:t>Months 19–24</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63E4F56D" w14:textId="77777777" w:rsidR="00470843" w:rsidRDefault="00000000">
            <w:r>
              <w:rPr>
                <w:color w:val="1A1A1A"/>
              </w:rPr>
              <w:t>Growth &amp; Expansion Readiness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61A851DA" w14:textId="77777777" w:rsidR="00470843" w:rsidRDefault="00000000">
            <w:r>
              <w:rPr>
                <w:i/>
                <w:iCs/>
                <w:color w:val="1B7A7A"/>
                <w:sz w:val="18"/>
                <w:szCs w:val="18"/>
              </w:rPr>
              <w:t>Commercial ecosystem established. International expansion pathways under assessment.</w:t>
            </w:r>
          </w:p>
        </w:tc>
      </w:tr>
      <w:tr w:rsidR="00470843" w14:paraId="0F91683A" w14:textId="77777777">
        <w:tblPrEx>
          <w:tblCellMar>
            <w:top w:w="0" w:type="dxa"/>
            <w:bottom w:w="0" w:type="dxa"/>
          </w:tblCellMar>
        </w:tblPrEx>
        <w:tc>
          <w:tcPr>
            <w:tcW w:w="9360" w:type="dxa"/>
            <w:gridSpan w:val="3"/>
            <w:tcBorders>
              <w:top w:val="single" w:sz="1" w:space="0" w:color="CCCCCC"/>
              <w:left w:val="none" w:sz="0" w:space="0" w:color="FFFFFF"/>
              <w:bottom w:val="none" w:sz="0" w:space="0" w:color="FFFFFF"/>
              <w:right w:val="none" w:sz="0" w:space="0" w:color="FFFFFF"/>
            </w:tcBorders>
            <w:shd w:val="clear" w:color="auto" w:fill="0D2340"/>
            <w:tcMar>
              <w:top w:w="80" w:type="dxa"/>
              <w:left w:w="160" w:type="dxa"/>
              <w:bottom w:w="80" w:type="dxa"/>
              <w:right w:w="160" w:type="dxa"/>
            </w:tcMar>
          </w:tcPr>
          <w:p w14:paraId="20E1C00D" w14:textId="77777777" w:rsidR="00470843" w:rsidRDefault="00000000">
            <w:r>
              <w:rPr>
                <w:b/>
                <w:bCs/>
                <w:color w:val="FFFFFF"/>
                <w:spacing w:val="30"/>
                <w:sz w:val="17"/>
                <w:szCs w:val="17"/>
              </w:rPr>
              <w:t>FUTURE CAPITAL STRATEGY</w:t>
            </w:r>
          </w:p>
        </w:tc>
      </w:tr>
      <w:tr w:rsidR="00470843" w14:paraId="30FDFA4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585820B5" w14:textId="77777777" w:rsidR="00470843" w:rsidRDefault="00000000">
            <w:r>
              <w:rPr>
                <w:b/>
                <w:bCs/>
                <w:color w:val="0D2340"/>
                <w:sz w:val="19"/>
                <w:szCs w:val="19"/>
              </w:rPr>
              <w:t>Approach</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7EB9CF7" w14:textId="77777777" w:rsidR="00470843" w:rsidRDefault="00000000">
            <w:r>
              <w:rPr>
                <w:color w:val="1A1A1A"/>
              </w:rPr>
              <w:t>Milestone-driven</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34F18812" w14:textId="77777777" w:rsidR="00470843" w:rsidRDefault="00000000">
            <w:r>
              <w:rPr>
                <w:i/>
                <w:iCs/>
                <w:color w:val="1B7A7A"/>
                <w:sz w:val="18"/>
                <w:szCs w:val="18"/>
              </w:rPr>
              <w:t>Future capital raises will be sized and structured based on operational performance, regulatory progression, and market conditions at the time. No predetermined round structure.</w:t>
            </w:r>
          </w:p>
        </w:tc>
      </w:tr>
      <w:tr w:rsidR="00470843" w14:paraId="2D3E4F0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A7814B2" w14:textId="77777777" w:rsidR="00470843" w:rsidRDefault="00000000">
            <w:r>
              <w:rPr>
                <w:b/>
                <w:bCs/>
                <w:color w:val="0D2340"/>
                <w:sz w:val="19"/>
                <w:szCs w:val="19"/>
              </w:rPr>
              <w:t>Trigger Criteria</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BBEB766" w14:textId="77777777" w:rsidR="00470843" w:rsidRDefault="00000000">
            <w:r>
              <w:rPr>
                <w:color w:val="1A1A1A"/>
              </w:rPr>
              <w:t xml:space="preserve">Demonstrated commercial traction, regulatory milestone </w:t>
            </w:r>
            <w:r>
              <w:rPr>
                <w:color w:val="1A1A1A"/>
              </w:rPr>
              <w:lastRenderedPageBreak/>
              <w:t>completion, and expansion opportunity assessment</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2E8E8984" w14:textId="77777777" w:rsidR="00470843" w:rsidRDefault="00000000">
            <w:r>
              <w:rPr>
                <w:i/>
                <w:iCs/>
                <w:color w:val="1B7A7A"/>
                <w:sz w:val="18"/>
                <w:szCs w:val="18"/>
              </w:rPr>
              <w:lastRenderedPageBreak/>
              <w:t>Future investors will be presented with evidence of operational success before being asked to commit capital.</w:t>
            </w:r>
          </w:p>
        </w:tc>
      </w:tr>
      <w:tr w:rsidR="00470843" w14:paraId="3D57377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4A6B146A" w14:textId="77777777" w:rsidR="00470843" w:rsidRDefault="00000000">
            <w:r>
              <w:rPr>
                <w:b/>
                <w:bCs/>
                <w:color w:val="0D2340"/>
                <w:sz w:val="19"/>
                <w:szCs w:val="19"/>
              </w:rPr>
              <w:t>Investor Priority</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8FB01ED" w14:textId="77777777" w:rsidR="00470843" w:rsidRDefault="00000000">
            <w:r>
              <w:rPr>
                <w:color w:val="1A1A1A"/>
              </w:rPr>
              <w:t>Series A investors expected to receive pro-rata participation rights in future raises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2085854A" w14:textId="77777777" w:rsidR="00470843" w:rsidRDefault="00000000">
            <w:r>
              <w:rPr>
                <w:i/>
                <w:iCs/>
                <w:color w:val="1B7A7A"/>
                <w:sz w:val="18"/>
                <w:szCs w:val="18"/>
              </w:rPr>
              <w:t>Allows UCEA family offices to maintain or increase their position as the business scales.</w:t>
            </w:r>
          </w:p>
        </w:tc>
      </w:tr>
      <w:tr w:rsidR="00470843" w14:paraId="2F8F242F"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5F75998" w14:textId="77777777" w:rsidR="00470843" w:rsidRDefault="00000000">
            <w:r>
              <w:rPr>
                <w:b/>
                <w:bCs/>
                <w:color w:val="0D2340"/>
                <w:sz w:val="19"/>
                <w:szCs w:val="19"/>
              </w:rPr>
              <w:t>Total Opportunity</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D35111C" w14:textId="77777777" w:rsidR="00470843" w:rsidRDefault="00000000">
            <w:r>
              <w:rPr>
                <w:color w:val="1A1A1A"/>
              </w:rPr>
              <w:t>Subject to operational outcomes and market conditions</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47DE206F" w14:textId="77777777" w:rsidR="00470843" w:rsidRDefault="00000000">
            <w:r>
              <w:rPr>
                <w:i/>
                <w:iCs/>
                <w:color w:val="1B7A7A"/>
                <w:sz w:val="18"/>
                <w:szCs w:val="18"/>
              </w:rPr>
              <w:t>The Board believes there is significant long-term capital formation potential as the platform scales across jurisdictions. This will be assessed at each stage.</w:t>
            </w:r>
          </w:p>
        </w:tc>
      </w:tr>
      <w:tr w:rsidR="00470843" w14:paraId="41C0EE27" w14:textId="77777777">
        <w:tblPrEx>
          <w:tblCellMar>
            <w:top w:w="0" w:type="dxa"/>
            <w:bottom w:w="0" w:type="dxa"/>
          </w:tblCellMar>
        </w:tblPrEx>
        <w:tc>
          <w:tcPr>
            <w:tcW w:w="9360" w:type="dxa"/>
            <w:gridSpan w:val="3"/>
            <w:tcBorders>
              <w:top w:val="single" w:sz="1" w:space="0" w:color="CCCCCC"/>
              <w:left w:val="none" w:sz="0" w:space="0" w:color="FFFFFF"/>
              <w:bottom w:val="none" w:sz="0" w:space="0" w:color="FFFFFF"/>
              <w:right w:val="none" w:sz="0" w:space="0" w:color="FFFFFF"/>
            </w:tcBorders>
            <w:shd w:val="clear" w:color="auto" w:fill="0D2340"/>
            <w:tcMar>
              <w:top w:w="80" w:type="dxa"/>
              <w:left w:w="160" w:type="dxa"/>
              <w:bottom w:w="80" w:type="dxa"/>
              <w:right w:w="160" w:type="dxa"/>
            </w:tcMar>
          </w:tcPr>
          <w:p w14:paraId="216BDB18" w14:textId="77777777" w:rsidR="00470843" w:rsidRDefault="00000000">
            <w:r>
              <w:rPr>
                <w:b/>
                <w:bCs/>
                <w:color w:val="FFFFFF"/>
                <w:spacing w:val="30"/>
                <w:sz w:val="17"/>
                <w:szCs w:val="17"/>
              </w:rPr>
              <w:t>PROCESS &amp; CURRENT STATUS</w:t>
            </w:r>
          </w:p>
        </w:tc>
      </w:tr>
      <w:tr w:rsidR="00470843" w14:paraId="232D38E0"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217D1E1E" w14:textId="77777777" w:rsidR="00470843" w:rsidRDefault="00000000">
            <w:r>
              <w:rPr>
                <w:b/>
                <w:bCs/>
                <w:color w:val="0D2340"/>
                <w:sz w:val="19"/>
                <w:szCs w:val="19"/>
              </w:rPr>
              <w:t>Due Diligence Status</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7F93778" w14:textId="77777777" w:rsidR="00470843" w:rsidRDefault="00000000">
            <w:r>
              <w:rPr>
                <w:color w:val="1A1A1A"/>
              </w:rPr>
              <w:t>UCEA Stage 4 Package completed (</w:t>
            </w:r>
            <w:proofErr w:type="spellStart"/>
            <w:r>
              <w:rPr>
                <w:color w:val="1A1A1A"/>
              </w:rPr>
              <w:t>DocuSign</w:t>
            </w:r>
            <w:proofErr w:type="spellEnd"/>
            <w:r>
              <w:rPr>
                <w:color w:val="1A1A1A"/>
              </w:rPr>
              <w:t>, June 25</w:t>
            </w:r>
            <w:proofErr w:type="gramStart"/>
            <w:r>
              <w:rPr>
                <w:color w:val="1A1A1A"/>
              </w:rPr>
              <w:t xml:space="preserve"> 2026</w:t>
            </w:r>
            <w:proofErr w:type="gramEnd"/>
            <w:r>
              <w:rPr>
                <w:color w:val="1A1A1A"/>
              </w:rPr>
              <w:t>)</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0ED1D6E1" w14:textId="77777777" w:rsidR="00470843" w:rsidRDefault="00000000">
            <w:r>
              <w:rPr>
                <w:i/>
                <w:iCs/>
                <w:color w:val="1B7A7A"/>
                <w:sz w:val="18"/>
                <w:szCs w:val="18"/>
              </w:rPr>
              <w:t>Formal UCEA due diligence process concluded. At term sheet stage.</w:t>
            </w:r>
          </w:p>
        </w:tc>
      </w:tr>
      <w:tr w:rsidR="00470843" w14:paraId="5777E9B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18EBB9A0" w14:textId="77777777" w:rsidR="00470843" w:rsidRDefault="00000000">
            <w:r>
              <w:rPr>
                <w:b/>
                <w:bCs/>
                <w:color w:val="0D2340"/>
                <w:sz w:val="19"/>
                <w:szCs w:val="19"/>
              </w:rPr>
              <w:t>Data Room</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263CF735" w14:textId="77777777" w:rsidR="00470843" w:rsidRDefault="00000000">
            <w:r>
              <w:rPr>
                <w:color w:val="1A1A1A"/>
              </w:rPr>
              <w:t>dataroom.gscxgroup.com</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0BE47C0E" w14:textId="77777777" w:rsidR="00470843" w:rsidRDefault="00000000">
            <w:r>
              <w:rPr>
                <w:i/>
                <w:iCs/>
                <w:color w:val="1B7A7A"/>
                <w:sz w:val="18"/>
                <w:szCs w:val="18"/>
              </w:rPr>
              <w:t>Full data room access available to confirmed investors</w:t>
            </w:r>
          </w:p>
        </w:tc>
      </w:tr>
      <w:tr w:rsidR="00470843" w14:paraId="092EB3C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60" w:type="dxa"/>
              <w:bottom w:w="100" w:type="dxa"/>
              <w:right w:w="160" w:type="dxa"/>
            </w:tcMar>
          </w:tcPr>
          <w:p w14:paraId="2E4E205F" w14:textId="77777777" w:rsidR="00470843" w:rsidRDefault="00000000">
            <w:r>
              <w:rPr>
                <w:b/>
                <w:bCs/>
                <w:color w:val="0D2340"/>
                <w:sz w:val="19"/>
                <w:szCs w:val="19"/>
              </w:rPr>
              <w:t>Legal Counsel</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63C9EE7" w14:textId="77777777" w:rsidR="00470843" w:rsidRDefault="00000000">
            <w:r>
              <w:rPr>
                <w:color w:val="1A1A1A"/>
              </w:rPr>
              <w:t>Jerome Wilson, Appleby Global (jwilson@applebyglobal.com)</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5EA8B4D8" w14:textId="77777777" w:rsidR="00470843" w:rsidRDefault="00000000">
            <w:r>
              <w:rPr>
                <w:i/>
                <w:iCs/>
                <w:color w:val="1B7A7A"/>
                <w:sz w:val="18"/>
                <w:szCs w:val="18"/>
              </w:rPr>
              <w:t>Bermuda counsel engaged. Definitive documentation to follow term sheet agreement.</w:t>
            </w:r>
          </w:p>
        </w:tc>
      </w:tr>
      <w:tr w:rsidR="00470843" w14:paraId="144D06C4"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FB30BE4" w14:textId="77777777" w:rsidR="00470843" w:rsidRDefault="00000000">
            <w:r>
              <w:rPr>
                <w:b/>
                <w:bCs/>
                <w:color w:val="0D2340"/>
                <w:sz w:val="19"/>
                <w:szCs w:val="19"/>
              </w:rPr>
              <w:t>Next Step</w:t>
            </w:r>
          </w:p>
        </w:tc>
        <w:tc>
          <w:tcPr>
            <w:tcW w:w="3360" w:type="dxa"/>
            <w:tcBorders>
              <w:top w:val="single" w:sz="1" w:space="0" w:color="CCCCCC"/>
              <w:left w:val="single" w:sz="1" w:space="0" w:color="CCCCCC"/>
              <w:bottom w:val="single" w:sz="1" w:space="0" w:color="CCCCCC"/>
              <w:right w:val="single" w:sz="1" w:space="0" w:color="CCCCCC"/>
            </w:tcBorders>
            <w:shd w:val="clear" w:color="auto" w:fill="FFF8E8"/>
            <w:tcMar>
              <w:top w:w="100" w:type="dxa"/>
              <w:left w:w="160" w:type="dxa"/>
              <w:bottom w:w="100" w:type="dxa"/>
              <w:right w:w="160" w:type="dxa"/>
            </w:tcMar>
          </w:tcPr>
          <w:p w14:paraId="72DC11AD" w14:textId="77777777" w:rsidR="00470843" w:rsidRDefault="00000000">
            <w:r>
              <w:rPr>
                <w:b/>
                <w:bCs/>
                <w:color w:val="0D2340"/>
                <w:sz w:val="22"/>
                <w:szCs w:val="22"/>
              </w:rPr>
              <w:t>UCEA to provide proposed term sheet</w:t>
            </w:r>
          </w:p>
        </w:tc>
        <w:tc>
          <w:tcPr>
            <w:tcW w:w="3600" w:type="dxa"/>
            <w:tcBorders>
              <w:top w:val="single" w:sz="1" w:space="0" w:color="CCCCCC"/>
              <w:left w:val="single" w:sz="1" w:space="0" w:color="CCCCCC"/>
              <w:bottom w:val="single" w:sz="1" w:space="0" w:color="CCCCCC"/>
              <w:right w:val="single" w:sz="1" w:space="0" w:color="CCCCCC"/>
            </w:tcBorders>
            <w:shd w:val="clear" w:color="auto" w:fill="E6F4F4"/>
            <w:tcMar>
              <w:top w:w="100" w:type="dxa"/>
              <w:left w:w="160" w:type="dxa"/>
              <w:bottom w:w="100" w:type="dxa"/>
              <w:right w:w="160" w:type="dxa"/>
            </w:tcMar>
          </w:tcPr>
          <w:p w14:paraId="7F9F109B" w14:textId="77777777" w:rsidR="00470843" w:rsidRDefault="00000000">
            <w:r>
              <w:rPr>
                <w:i/>
                <w:iCs/>
                <w:color w:val="1B7A7A"/>
                <w:sz w:val="18"/>
                <w:szCs w:val="18"/>
              </w:rPr>
              <w:t>GSCX ready to review. Target: term sheet agreed, definitive documentation within 30–45 days.</w:t>
            </w:r>
          </w:p>
        </w:tc>
      </w:tr>
    </w:tbl>
    <w:p w14:paraId="6A095BCD" w14:textId="77777777" w:rsidR="00470843" w:rsidRDefault="00470843">
      <w:pPr>
        <w:spacing w:before="120"/>
      </w:pPr>
    </w:p>
    <w:p w14:paraId="0413B612" w14:textId="77777777" w:rsidR="00470843" w:rsidRDefault="00470843">
      <w:pPr>
        <w:pBdr>
          <w:bottom w:val="single" w:sz="6" w:space="0" w:color="1B7A7A"/>
        </w:pBd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70843" w14:paraId="0718AA56"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F5F5F5"/>
            <w:tcMar>
              <w:top w:w="120" w:type="dxa"/>
              <w:left w:w="200" w:type="dxa"/>
              <w:bottom w:w="120" w:type="dxa"/>
              <w:right w:w="200" w:type="dxa"/>
            </w:tcMar>
          </w:tcPr>
          <w:p w14:paraId="033C87EA" w14:textId="77777777" w:rsidR="00470843" w:rsidRDefault="00000000">
            <w:pPr>
              <w:spacing w:after="40"/>
            </w:pPr>
            <w:r>
              <w:rPr>
                <w:b/>
                <w:bCs/>
                <w:color w:val="0D2340"/>
              </w:rPr>
              <w:t>Important Notice</w:t>
            </w:r>
          </w:p>
          <w:p w14:paraId="4436D866" w14:textId="77777777" w:rsidR="00470843" w:rsidRDefault="00000000">
            <w:r>
              <w:rPr>
                <w:i/>
                <w:iCs/>
                <w:color w:val="666666"/>
                <w:sz w:val="17"/>
                <w:szCs w:val="17"/>
              </w:rPr>
              <w:t xml:space="preserve">This </w:t>
            </w:r>
            <w:proofErr w:type="gramStart"/>
            <w:r>
              <w:rPr>
                <w:i/>
                <w:iCs/>
                <w:color w:val="666666"/>
                <w:sz w:val="17"/>
                <w:szCs w:val="17"/>
              </w:rPr>
              <w:t>term sheet</w:t>
            </w:r>
            <w:proofErr w:type="gramEnd"/>
            <w:r>
              <w:rPr>
                <w:i/>
                <w:iCs/>
                <w:color w:val="666666"/>
                <w:sz w:val="17"/>
                <w:szCs w:val="17"/>
              </w:rPr>
              <w:t xml:space="preserve"> summary is provided for discussion purposes only and does not constitute a legally binding commitment, offer, or contract. All terms are subject to final negotiation, legal review, board approval, and execution of definitive investment documentation. Future capital raises referenced herein are indicative only and subject to board decision, operational performance, and market conditions at the relevant time. GSCX Group reserves the right to modify these terms. This document is strictly confidential and intended solely for the addressee.</w:t>
            </w:r>
          </w:p>
        </w:tc>
      </w:tr>
    </w:tbl>
    <w:p w14:paraId="584B5139" w14:textId="77777777" w:rsidR="00227176" w:rsidRDefault="00227176"/>
    <w:sectPr w:rsidR="00227176">
      <w:pgSz w:w="12240" w:h="15840"/>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836"/>
    <w:multiLevelType w:val="hybridMultilevel"/>
    <w:tmpl w:val="68F28EAC"/>
    <w:lvl w:ilvl="0" w:tplc="D9C88EAC">
      <w:start w:val="1"/>
      <w:numFmt w:val="bullet"/>
      <w:lvlText w:val="•"/>
      <w:lvlJc w:val="left"/>
      <w:pPr>
        <w:ind w:left="480" w:hanging="300"/>
      </w:pPr>
    </w:lvl>
    <w:lvl w:ilvl="1" w:tplc="ED187058">
      <w:numFmt w:val="decimal"/>
      <w:lvlText w:val=""/>
      <w:lvlJc w:val="left"/>
    </w:lvl>
    <w:lvl w:ilvl="2" w:tplc="5A08633A">
      <w:numFmt w:val="decimal"/>
      <w:lvlText w:val=""/>
      <w:lvlJc w:val="left"/>
    </w:lvl>
    <w:lvl w:ilvl="3" w:tplc="2F1A6D30">
      <w:numFmt w:val="decimal"/>
      <w:lvlText w:val=""/>
      <w:lvlJc w:val="left"/>
    </w:lvl>
    <w:lvl w:ilvl="4" w:tplc="43243BC2">
      <w:numFmt w:val="decimal"/>
      <w:lvlText w:val=""/>
      <w:lvlJc w:val="left"/>
    </w:lvl>
    <w:lvl w:ilvl="5" w:tplc="F8987CFC">
      <w:numFmt w:val="decimal"/>
      <w:lvlText w:val=""/>
      <w:lvlJc w:val="left"/>
    </w:lvl>
    <w:lvl w:ilvl="6" w:tplc="69369A52">
      <w:numFmt w:val="decimal"/>
      <w:lvlText w:val=""/>
      <w:lvlJc w:val="left"/>
    </w:lvl>
    <w:lvl w:ilvl="7" w:tplc="C928BC62">
      <w:numFmt w:val="decimal"/>
      <w:lvlText w:val=""/>
      <w:lvlJc w:val="left"/>
    </w:lvl>
    <w:lvl w:ilvl="8" w:tplc="A8E62C7A">
      <w:numFmt w:val="decimal"/>
      <w:lvlText w:val=""/>
      <w:lvlJc w:val="left"/>
    </w:lvl>
  </w:abstractNum>
  <w:abstractNum w:abstractNumId="1" w15:restartNumberingAfterBreak="0">
    <w:nsid w:val="7E6B1340"/>
    <w:multiLevelType w:val="hybridMultilevel"/>
    <w:tmpl w:val="5DF02E88"/>
    <w:lvl w:ilvl="0" w:tplc="60CE5D88">
      <w:start w:val="1"/>
      <w:numFmt w:val="bullet"/>
      <w:lvlText w:val="●"/>
      <w:lvlJc w:val="left"/>
      <w:pPr>
        <w:ind w:left="720" w:hanging="360"/>
      </w:pPr>
    </w:lvl>
    <w:lvl w:ilvl="1" w:tplc="9DFE9A82">
      <w:start w:val="1"/>
      <w:numFmt w:val="bullet"/>
      <w:lvlText w:val="○"/>
      <w:lvlJc w:val="left"/>
      <w:pPr>
        <w:ind w:left="1440" w:hanging="360"/>
      </w:pPr>
    </w:lvl>
    <w:lvl w:ilvl="2" w:tplc="E3BAF778">
      <w:start w:val="1"/>
      <w:numFmt w:val="bullet"/>
      <w:lvlText w:val="■"/>
      <w:lvlJc w:val="left"/>
      <w:pPr>
        <w:ind w:left="2160" w:hanging="360"/>
      </w:pPr>
    </w:lvl>
    <w:lvl w:ilvl="3" w:tplc="3FA027A8">
      <w:start w:val="1"/>
      <w:numFmt w:val="bullet"/>
      <w:lvlText w:val="●"/>
      <w:lvlJc w:val="left"/>
      <w:pPr>
        <w:ind w:left="2880" w:hanging="360"/>
      </w:pPr>
    </w:lvl>
    <w:lvl w:ilvl="4" w:tplc="C4D8344C">
      <w:start w:val="1"/>
      <w:numFmt w:val="bullet"/>
      <w:lvlText w:val="○"/>
      <w:lvlJc w:val="left"/>
      <w:pPr>
        <w:ind w:left="3600" w:hanging="360"/>
      </w:pPr>
    </w:lvl>
    <w:lvl w:ilvl="5" w:tplc="D7683AF0">
      <w:start w:val="1"/>
      <w:numFmt w:val="bullet"/>
      <w:lvlText w:val="■"/>
      <w:lvlJc w:val="left"/>
      <w:pPr>
        <w:ind w:left="4320" w:hanging="360"/>
      </w:pPr>
    </w:lvl>
    <w:lvl w:ilvl="6" w:tplc="61684B02">
      <w:start w:val="1"/>
      <w:numFmt w:val="bullet"/>
      <w:lvlText w:val="●"/>
      <w:lvlJc w:val="left"/>
      <w:pPr>
        <w:ind w:left="5040" w:hanging="360"/>
      </w:pPr>
    </w:lvl>
    <w:lvl w:ilvl="7" w:tplc="1E2CF43A">
      <w:start w:val="1"/>
      <w:numFmt w:val="bullet"/>
      <w:lvlText w:val="●"/>
      <w:lvlJc w:val="left"/>
      <w:pPr>
        <w:ind w:left="5760" w:hanging="360"/>
      </w:pPr>
    </w:lvl>
    <w:lvl w:ilvl="8" w:tplc="E3CC917E">
      <w:start w:val="1"/>
      <w:numFmt w:val="bullet"/>
      <w:lvlText w:val="●"/>
      <w:lvlJc w:val="left"/>
      <w:pPr>
        <w:ind w:left="6480" w:hanging="360"/>
      </w:pPr>
    </w:lvl>
  </w:abstractNum>
  <w:num w:numId="1" w16cid:durableId="132370134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43"/>
    <w:rsid w:val="00227176"/>
    <w:rsid w:val="00470843"/>
    <w:rsid w:val="00865A29"/>
    <w:rsid w:val="008F3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A405"/>
  <w15:docId w15:val="{04FE09EC-FDA4-4BA8-A0EC-D4B32B48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Jaime White</cp:lastModifiedBy>
  <cp:revision>2</cp:revision>
  <dcterms:created xsi:type="dcterms:W3CDTF">2026-06-26T00:23:00Z</dcterms:created>
  <dcterms:modified xsi:type="dcterms:W3CDTF">2026-06-26T00:23:00Z</dcterms:modified>
</cp:coreProperties>
</file>